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E15E0">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107</w:t>
      </w:r>
      <w:r>
        <w:rPr>
          <w:rFonts w:hint="eastAsia" w:eastAsia="宋体"/>
          <w:b/>
          <w:sz w:val="24"/>
          <w:lang w:val="en-US" w:eastAsia="zh-CN"/>
        </w:rPr>
        <w:fldChar w:fldCharType="end"/>
      </w:r>
      <w:r>
        <w:rPr>
          <w:b/>
          <w:i/>
          <w:sz w:val="28"/>
        </w:rPr>
        <w:tab/>
      </w:r>
      <w:r>
        <w:rPr>
          <w:rFonts w:hint="eastAsia" w:eastAsia="宋体"/>
          <w:b/>
          <w:i/>
          <w:sz w:val="28"/>
          <w:lang w:val="en-US" w:eastAsia="zh-CN"/>
        </w:rPr>
        <w:t>R5-252070</w:t>
      </w:r>
      <w:r>
        <w:rPr>
          <w:rFonts w:hint="eastAsia" w:eastAsia="宋体"/>
          <w:b/>
          <w:i/>
          <w:sz w:val="28"/>
          <w:highlight w:val="yellow"/>
          <w:lang w:val="en-US" w:eastAsia="zh-CN"/>
        </w:rPr>
        <w:t>r1</w:t>
      </w:r>
    </w:p>
    <w:p w14:paraId="73DD1FB9">
      <w:pPr>
        <w:pStyle w:val="83"/>
        <w:outlineLvl w:val="0"/>
        <w:rPr>
          <w:rFonts w:eastAsia="宋体"/>
          <w:b/>
          <w:sz w:val="24"/>
          <w:lang w:val="en-US" w:eastAsia="zh-CN"/>
        </w:rPr>
      </w:pPr>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D1285D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678EF15">
            <w:pPr>
              <w:pStyle w:val="83"/>
              <w:spacing w:after="0"/>
              <w:jc w:val="right"/>
              <w:rPr>
                <w:i/>
              </w:rPr>
            </w:pPr>
            <w:r>
              <w:rPr>
                <w:i/>
                <w:sz w:val="14"/>
              </w:rPr>
              <w:t>CR-Form-v12.3</w:t>
            </w:r>
          </w:p>
        </w:tc>
      </w:tr>
      <w:tr w14:paraId="39CBBE9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4937ABD">
            <w:pPr>
              <w:pStyle w:val="83"/>
              <w:spacing w:after="0"/>
              <w:jc w:val="center"/>
            </w:pPr>
            <w:r>
              <w:rPr>
                <w:b/>
                <w:sz w:val="32"/>
              </w:rPr>
              <w:t>CHANGE REQUEST</w:t>
            </w:r>
          </w:p>
        </w:tc>
      </w:tr>
      <w:tr w14:paraId="23C7148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6458D4">
            <w:pPr>
              <w:pStyle w:val="83"/>
              <w:spacing w:after="0"/>
              <w:rPr>
                <w:sz w:val="8"/>
                <w:szCs w:val="8"/>
              </w:rPr>
            </w:pPr>
          </w:p>
        </w:tc>
      </w:tr>
      <w:tr w14:paraId="444C9AB5">
        <w:tblPrEx>
          <w:tblCellMar>
            <w:top w:w="0" w:type="dxa"/>
            <w:left w:w="42" w:type="dxa"/>
            <w:bottom w:w="0" w:type="dxa"/>
            <w:right w:w="42" w:type="dxa"/>
          </w:tblCellMar>
        </w:tblPrEx>
        <w:tc>
          <w:tcPr>
            <w:tcW w:w="142" w:type="dxa"/>
            <w:tcBorders>
              <w:left w:val="single" w:color="auto" w:sz="4" w:space="0"/>
            </w:tcBorders>
          </w:tcPr>
          <w:p w14:paraId="3C0AFC45">
            <w:pPr>
              <w:pStyle w:val="83"/>
              <w:spacing w:after="0"/>
              <w:jc w:val="right"/>
            </w:pPr>
          </w:p>
        </w:tc>
        <w:tc>
          <w:tcPr>
            <w:tcW w:w="1559" w:type="dxa"/>
            <w:shd w:val="pct30" w:color="FFFF00" w:fill="auto"/>
          </w:tcPr>
          <w:p w14:paraId="083B3B9D">
            <w:pPr>
              <w:pStyle w:val="83"/>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.5</w:t>
            </w:r>
            <w:r>
              <w:rPr>
                <w:b/>
                <w:sz w:val="28"/>
              </w:rPr>
              <w:fldChar w:fldCharType="end"/>
            </w:r>
            <w:r>
              <w:rPr>
                <w:rFonts w:hint="eastAsia" w:eastAsia="宋体"/>
                <w:b/>
                <w:sz w:val="28"/>
                <w:lang w:val="en-US" w:eastAsia="zh-CN"/>
              </w:rPr>
              <w:t>21-4</w:t>
            </w:r>
          </w:p>
        </w:tc>
        <w:tc>
          <w:tcPr>
            <w:tcW w:w="709" w:type="dxa"/>
          </w:tcPr>
          <w:p w14:paraId="359F4C4F">
            <w:pPr>
              <w:pStyle w:val="83"/>
              <w:spacing w:after="0"/>
              <w:jc w:val="center"/>
            </w:pPr>
            <w:r>
              <w:rPr>
                <w:b/>
                <w:sz w:val="28"/>
              </w:rPr>
              <w:t>CR</w:t>
            </w:r>
          </w:p>
        </w:tc>
        <w:tc>
          <w:tcPr>
            <w:tcW w:w="1276" w:type="dxa"/>
            <w:shd w:val="pct30" w:color="FFFF00" w:fill="auto"/>
          </w:tcPr>
          <w:p w14:paraId="574E4733">
            <w:pPr>
              <w:pStyle w:val="83"/>
              <w:spacing w:after="0"/>
              <w:rPr>
                <w:rFonts w:hint="default" w:eastAsia="宋体"/>
                <w:lang w:val="en-US" w:eastAsia="zh-CN"/>
              </w:rPr>
            </w:pPr>
            <w:r>
              <w:rPr>
                <w:rFonts w:hint="eastAsia" w:eastAsia="宋体"/>
                <w:b/>
                <w:sz w:val="28"/>
                <w:lang w:val="en-US" w:eastAsia="zh-CN"/>
              </w:rPr>
              <w:t>0090</w:t>
            </w:r>
          </w:p>
        </w:tc>
        <w:tc>
          <w:tcPr>
            <w:tcW w:w="709" w:type="dxa"/>
          </w:tcPr>
          <w:p w14:paraId="11335800">
            <w:pPr>
              <w:pStyle w:val="83"/>
              <w:tabs>
                <w:tab w:val="right" w:pos="625"/>
              </w:tabs>
              <w:spacing w:after="0"/>
              <w:jc w:val="center"/>
            </w:pPr>
            <w:r>
              <w:rPr>
                <w:b/>
                <w:bCs/>
                <w:sz w:val="28"/>
              </w:rPr>
              <w:t>rev</w:t>
            </w:r>
          </w:p>
        </w:tc>
        <w:tc>
          <w:tcPr>
            <w:tcW w:w="992" w:type="dxa"/>
            <w:shd w:val="pct30" w:color="FFFF00" w:fill="auto"/>
          </w:tcPr>
          <w:p w14:paraId="380A7597">
            <w:pPr>
              <w:pStyle w:val="83"/>
              <w:spacing w:after="0"/>
              <w:jc w:val="center"/>
              <w:rPr>
                <w:rFonts w:eastAsia="宋体"/>
                <w:b/>
                <w:lang w:val="en-US" w:eastAsia="zh-CN"/>
              </w:rPr>
            </w:pPr>
            <w:r>
              <w:rPr>
                <w:rFonts w:hint="eastAsia" w:eastAsia="宋体"/>
                <w:b/>
                <w:sz w:val="28"/>
                <w:lang w:val="en-US" w:eastAsia="zh-CN"/>
              </w:rPr>
              <w:t>-</w:t>
            </w:r>
          </w:p>
        </w:tc>
        <w:tc>
          <w:tcPr>
            <w:tcW w:w="2410" w:type="dxa"/>
          </w:tcPr>
          <w:p w14:paraId="75BD36D3">
            <w:pPr>
              <w:pStyle w:val="83"/>
              <w:tabs>
                <w:tab w:val="right" w:pos="1825"/>
              </w:tabs>
              <w:spacing w:after="0"/>
              <w:jc w:val="center"/>
            </w:pPr>
            <w:r>
              <w:rPr>
                <w:b/>
                <w:sz w:val="28"/>
                <w:szCs w:val="28"/>
              </w:rPr>
              <w:t>Current version:</w:t>
            </w:r>
          </w:p>
        </w:tc>
        <w:tc>
          <w:tcPr>
            <w:tcW w:w="1701" w:type="dxa"/>
            <w:shd w:val="pct30" w:color="FFFF00" w:fill="auto"/>
          </w:tcPr>
          <w:p w14:paraId="45EA2C2B">
            <w:pPr>
              <w:pStyle w:val="83"/>
              <w:spacing w:after="0"/>
              <w:jc w:val="center"/>
              <w:rPr>
                <w:rFonts w:eastAsia="宋体"/>
                <w:sz w:val="28"/>
                <w:lang w:val="en-US" w:eastAsia="zh-CN"/>
              </w:rPr>
            </w:pPr>
            <w:r>
              <w:rPr>
                <w:rFonts w:hint="eastAsia" w:eastAsia="宋体"/>
                <w:b/>
                <w:sz w:val="28"/>
                <w:lang w:val="en-US" w:eastAsia="zh-CN"/>
              </w:rPr>
              <w:t>18.5.0</w:t>
            </w:r>
          </w:p>
        </w:tc>
        <w:tc>
          <w:tcPr>
            <w:tcW w:w="143" w:type="dxa"/>
            <w:tcBorders>
              <w:right w:val="single" w:color="auto" w:sz="4" w:space="0"/>
            </w:tcBorders>
          </w:tcPr>
          <w:p w14:paraId="635CADFB">
            <w:pPr>
              <w:pStyle w:val="83"/>
              <w:spacing w:after="0"/>
            </w:pPr>
          </w:p>
        </w:tc>
      </w:tr>
      <w:tr w14:paraId="2C5BD9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6283D1">
            <w:pPr>
              <w:pStyle w:val="83"/>
              <w:spacing w:after="0"/>
            </w:pPr>
          </w:p>
        </w:tc>
      </w:tr>
      <w:tr w14:paraId="47334C08">
        <w:tblPrEx>
          <w:tblCellMar>
            <w:top w:w="0" w:type="dxa"/>
            <w:left w:w="42" w:type="dxa"/>
            <w:bottom w:w="0" w:type="dxa"/>
            <w:right w:w="42" w:type="dxa"/>
          </w:tblCellMar>
        </w:tblPrEx>
        <w:tc>
          <w:tcPr>
            <w:tcW w:w="9641" w:type="dxa"/>
            <w:gridSpan w:val="9"/>
            <w:tcBorders>
              <w:top w:val="single" w:color="auto" w:sz="4" w:space="0"/>
            </w:tcBorders>
          </w:tcPr>
          <w:p w14:paraId="4DAC7187">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0E437A5">
        <w:tblPrEx>
          <w:tblCellMar>
            <w:top w:w="0" w:type="dxa"/>
            <w:left w:w="42" w:type="dxa"/>
            <w:bottom w:w="0" w:type="dxa"/>
            <w:right w:w="42" w:type="dxa"/>
          </w:tblCellMar>
        </w:tblPrEx>
        <w:tc>
          <w:tcPr>
            <w:tcW w:w="9641" w:type="dxa"/>
            <w:gridSpan w:val="9"/>
          </w:tcPr>
          <w:p w14:paraId="4B90A43C">
            <w:pPr>
              <w:pStyle w:val="83"/>
              <w:spacing w:after="0"/>
              <w:rPr>
                <w:sz w:val="8"/>
                <w:szCs w:val="8"/>
              </w:rPr>
            </w:pPr>
          </w:p>
        </w:tc>
      </w:tr>
    </w:tbl>
    <w:p w14:paraId="2140BC0D">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991E1D2">
        <w:tblPrEx>
          <w:tblCellMar>
            <w:top w:w="0" w:type="dxa"/>
            <w:left w:w="42" w:type="dxa"/>
            <w:bottom w:w="0" w:type="dxa"/>
            <w:right w:w="42" w:type="dxa"/>
          </w:tblCellMar>
        </w:tblPrEx>
        <w:tc>
          <w:tcPr>
            <w:tcW w:w="2835" w:type="dxa"/>
          </w:tcPr>
          <w:p w14:paraId="674188FC">
            <w:pPr>
              <w:pStyle w:val="83"/>
              <w:tabs>
                <w:tab w:val="right" w:pos="2751"/>
              </w:tabs>
              <w:spacing w:after="0"/>
              <w:rPr>
                <w:b/>
                <w:i/>
              </w:rPr>
            </w:pPr>
            <w:r>
              <w:rPr>
                <w:b/>
                <w:i/>
              </w:rPr>
              <w:t>Proposed change affects:</w:t>
            </w:r>
          </w:p>
        </w:tc>
        <w:tc>
          <w:tcPr>
            <w:tcW w:w="1418" w:type="dxa"/>
          </w:tcPr>
          <w:p w14:paraId="38EB9D85">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45F2329">
            <w:pPr>
              <w:pStyle w:val="83"/>
              <w:spacing w:after="0"/>
              <w:jc w:val="center"/>
              <w:rPr>
                <w:b/>
                <w:caps/>
              </w:rPr>
            </w:pPr>
          </w:p>
        </w:tc>
        <w:tc>
          <w:tcPr>
            <w:tcW w:w="709" w:type="dxa"/>
            <w:tcBorders>
              <w:left w:val="single" w:color="auto" w:sz="4" w:space="0"/>
            </w:tcBorders>
          </w:tcPr>
          <w:p w14:paraId="71E48309">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B5C2B2">
            <w:pPr>
              <w:pStyle w:val="83"/>
              <w:spacing w:after="0"/>
              <w:jc w:val="center"/>
              <w:rPr>
                <w:b/>
                <w:caps/>
              </w:rPr>
            </w:pPr>
          </w:p>
        </w:tc>
        <w:tc>
          <w:tcPr>
            <w:tcW w:w="2126" w:type="dxa"/>
          </w:tcPr>
          <w:p w14:paraId="65F23EBE">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A81506B">
            <w:pPr>
              <w:pStyle w:val="83"/>
              <w:spacing w:after="0"/>
              <w:jc w:val="center"/>
              <w:rPr>
                <w:b/>
                <w:caps/>
              </w:rPr>
            </w:pPr>
          </w:p>
        </w:tc>
        <w:tc>
          <w:tcPr>
            <w:tcW w:w="1418" w:type="dxa"/>
            <w:tcBorders>
              <w:left w:val="nil"/>
            </w:tcBorders>
          </w:tcPr>
          <w:p w14:paraId="51CC75A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172CBA8">
            <w:pPr>
              <w:pStyle w:val="83"/>
              <w:spacing w:after="0"/>
              <w:jc w:val="center"/>
              <w:rPr>
                <w:b/>
                <w:bCs/>
                <w:caps/>
              </w:rPr>
            </w:pPr>
          </w:p>
        </w:tc>
      </w:tr>
    </w:tbl>
    <w:p w14:paraId="639E8E5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FE770C2">
        <w:tblPrEx>
          <w:tblCellMar>
            <w:top w:w="0" w:type="dxa"/>
            <w:left w:w="42" w:type="dxa"/>
            <w:bottom w:w="0" w:type="dxa"/>
            <w:right w:w="42" w:type="dxa"/>
          </w:tblCellMar>
        </w:tblPrEx>
        <w:tc>
          <w:tcPr>
            <w:tcW w:w="9640" w:type="dxa"/>
            <w:gridSpan w:val="11"/>
          </w:tcPr>
          <w:p w14:paraId="60CDDD57">
            <w:pPr>
              <w:pStyle w:val="83"/>
              <w:spacing w:after="0"/>
              <w:rPr>
                <w:sz w:val="8"/>
                <w:szCs w:val="8"/>
              </w:rPr>
            </w:pPr>
          </w:p>
        </w:tc>
      </w:tr>
      <w:tr w14:paraId="0B7C7A74">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14:paraId="31C96235">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24B54E5">
            <w:pPr>
              <w:pStyle w:val="83"/>
              <w:spacing w:after="0"/>
              <w:ind w:left="100"/>
              <w:rPr>
                <w:rFonts w:eastAsia="宋体"/>
                <w:lang w:val="en-US" w:eastAsia="zh-CN"/>
              </w:rPr>
            </w:pPr>
            <w:r>
              <w:rPr>
                <w:rFonts w:hint="eastAsia" w:eastAsia="宋体"/>
                <w:lang w:val="en-US" w:eastAsia="zh-CN"/>
              </w:rPr>
              <w:t>Update to R18 IoT NTN test cases</w:t>
            </w:r>
          </w:p>
        </w:tc>
      </w:tr>
      <w:tr w14:paraId="7C53BBE7">
        <w:tblPrEx>
          <w:tblCellMar>
            <w:top w:w="0" w:type="dxa"/>
            <w:left w:w="42" w:type="dxa"/>
            <w:bottom w:w="0" w:type="dxa"/>
            <w:right w:w="42" w:type="dxa"/>
          </w:tblCellMar>
        </w:tblPrEx>
        <w:tc>
          <w:tcPr>
            <w:tcW w:w="1843" w:type="dxa"/>
            <w:tcBorders>
              <w:left w:val="single" w:color="auto" w:sz="4" w:space="0"/>
            </w:tcBorders>
          </w:tcPr>
          <w:p w14:paraId="227224CB">
            <w:pPr>
              <w:pStyle w:val="83"/>
              <w:spacing w:after="0"/>
              <w:rPr>
                <w:b/>
                <w:i/>
                <w:sz w:val="8"/>
                <w:szCs w:val="8"/>
              </w:rPr>
            </w:pPr>
          </w:p>
        </w:tc>
        <w:tc>
          <w:tcPr>
            <w:tcW w:w="7797" w:type="dxa"/>
            <w:gridSpan w:val="10"/>
            <w:tcBorders>
              <w:right w:val="single" w:color="auto" w:sz="4" w:space="0"/>
            </w:tcBorders>
          </w:tcPr>
          <w:p w14:paraId="1507DDAB">
            <w:pPr>
              <w:pStyle w:val="83"/>
              <w:spacing w:after="0"/>
              <w:rPr>
                <w:sz w:val="8"/>
                <w:szCs w:val="8"/>
              </w:rPr>
            </w:pPr>
          </w:p>
        </w:tc>
      </w:tr>
      <w:tr w14:paraId="2AAF3C58">
        <w:tblPrEx>
          <w:tblCellMar>
            <w:top w:w="0" w:type="dxa"/>
            <w:left w:w="42" w:type="dxa"/>
            <w:bottom w:w="0" w:type="dxa"/>
            <w:right w:w="42" w:type="dxa"/>
          </w:tblCellMar>
        </w:tblPrEx>
        <w:tc>
          <w:tcPr>
            <w:tcW w:w="1843" w:type="dxa"/>
            <w:tcBorders>
              <w:left w:val="single" w:color="auto" w:sz="4" w:space="0"/>
            </w:tcBorders>
          </w:tcPr>
          <w:p w14:paraId="79FD8D37">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AF6BE0C">
            <w:pPr>
              <w:pStyle w:val="83"/>
              <w:spacing w:after="0"/>
              <w:ind w:left="100"/>
              <w:rPr>
                <w:rFonts w:hint="default" w:eastAsia="宋体"/>
                <w:lang w:val="en-US" w:eastAsia="zh-CN"/>
              </w:rPr>
            </w:pPr>
            <w:r>
              <w:rPr>
                <w:rFonts w:hint="eastAsia" w:eastAsia="宋体"/>
                <w:lang w:val="en-US" w:eastAsia="zh-CN"/>
              </w:rPr>
              <w:t>CMCC</w:t>
            </w:r>
            <w:r>
              <w:rPr>
                <w:rFonts w:hint="default" w:eastAsia="宋体"/>
                <w:lang w:val="en-US" w:eastAsia="zh-CN"/>
              </w:rPr>
              <w:t>, MediaTek</w:t>
            </w:r>
            <w:r>
              <w:rPr>
                <w:rFonts w:hint="eastAsia" w:eastAsia="宋体"/>
                <w:lang w:val="en-US" w:eastAsia="zh-CN"/>
              </w:rPr>
              <w:t xml:space="preserve">, </w:t>
            </w:r>
            <w:r>
              <w:rPr>
                <w:rFonts w:eastAsia="宋体"/>
                <w:highlight w:val="yellow"/>
                <w:lang w:val="en-US" w:eastAsia="zh-CN"/>
              </w:rPr>
              <w:t>EchoStar</w:t>
            </w:r>
          </w:p>
        </w:tc>
      </w:tr>
      <w:tr w14:paraId="60CF0758">
        <w:tblPrEx>
          <w:tblCellMar>
            <w:top w:w="0" w:type="dxa"/>
            <w:left w:w="42" w:type="dxa"/>
            <w:bottom w:w="0" w:type="dxa"/>
            <w:right w:w="42" w:type="dxa"/>
          </w:tblCellMar>
        </w:tblPrEx>
        <w:tc>
          <w:tcPr>
            <w:tcW w:w="1843" w:type="dxa"/>
            <w:tcBorders>
              <w:left w:val="single" w:color="auto" w:sz="4" w:space="0"/>
            </w:tcBorders>
          </w:tcPr>
          <w:p w14:paraId="666FE8D4">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A8AA425">
            <w:pPr>
              <w:pStyle w:val="83"/>
              <w:spacing w:after="0"/>
              <w:ind w:left="100"/>
              <w:rPr>
                <w:rFonts w:eastAsia="宋体"/>
                <w:lang w:val="en-US" w:eastAsia="zh-CN"/>
              </w:rPr>
            </w:pPr>
            <w:r>
              <w:rPr>
                <w:rFonts w:hint="eastAsia" w:eastAsia="宋体"/>
                <w:lang w:val="en-US" w:eastAsia="zh-CN"/>
              </w:rPr>
              <w:t>R5</w:t>
            </w:r>
          </w:p>
        </w:tc>
      </w:tr>
      <w:tr w14:paraId="27FB7007">
        <w:tblPrEx>
          <w:tblCellMar>
            <w:top w:w="0" w:type="dxa"/>
            <w:left w:w="42" w:type="dxa"/>
            <w:bottom w:w="0" w:type="dxa"/>
            <w:right w:w="42" w:type="dxa"/>
          </w:tblCellMar>
        </w:tblPrEx>
        <w:tc>
          <w:tcPr>
            <w:tcW w:w="1843" w:type="dxa"/>
            <w:tcBorders>
              <w:left w:val="single" w:color="auto" w:sz="4" w:space="0"/>
            </w:tcBorders>
          </w:tcPr>
          <w:p w14:paraId="5E639751">
            <w:pPr>
              <w:pStyle w:val="83"/>
              <w:spacing w:after="0"/>
              <w:rPr>
                <w:b/>
                <w:i/>
                <w:sz w:val="8"/>
                <w:szCs w:val="8"/>
              </w:rPr>
            </w:pPr>
          </w:p>
        </w:tc>
        <w:tc>
          <w:tcPr>
            <w:tcW w:w="7797" w:type="dxa"/>
            <w:gridSpan w:val="10"/>
            <w:tcBorders>
              <w:right w:val="single" w:color="auto" w:sz="4" w:space="0"/>
            </w:tcBorders>
          </w:tcPr>
          <w:p w14:paraId="0CE2F27F">
            <w:pPr>
              <w:pStyle w:val="83"/>
              <w:spacing w:after="0"/>
              <w:rPr>
                <w:sz w:val="8"/>
                <w:szCs w:val="8"/>
              </w:rPr>
            </w:pPr>
          </w:p>
        </w:tc>
      </w:tr>
      <w:tr w14:paraId="2D9816FF">
        <w:tblPrEx>
          <w:tblCellMar>
            <w:top w:w="0" w:type="dxa"/>
            <w:left w:w="42" w:type="dxa"/>
            <w:bottom w:w="0" w:type="dxa"/>
            <w:right w:w="42" w:type="dxa"/>
          </w:tblCellMar>
        </w:tblPrEx>
        <w:tc>
          <w:tcPr>
            <w:tcW w:w="1843" w:type="dxa"/>
            <w:tcBorders>
              <w:left w:val="single" w:color="auto" w:sz="4" w:space="0"/>
            </w:tcBorders>
          </w:tcPr>
          <w:p w14:paraId="406AAE56">
            <w:pPr>
              <w:pStyle w:val="83"/>
              <w:tabs>
                <w:tab w:val="right" w:pos="1759"/>
              </w:tabs>
              <w:spacing w:after="0"/>
              <w:rPr>
                <w:b/>
                <w:i/>
              </w:rPr>
            </w:pPr>
            <w:r>
              <w:rPr>
                <w:b/>
                <w:i/>
              </w:rPr>
              <w:t>Work item code:</w:t>
            </w:r>
          </w:p>
        </w:tc>
        <w:tc>
          <w:tcPr>
            <w:tcW w:w="3686" w:type="dxa"/>
            <w:gridSpan w:val="5"/>
            <w:shd w:val="pct30" w:color="FFFF00" w:fill="auto"/>
          </w:tcPr>
          <w:p w14:paraId="42A6B228">
            <w:pPr>
              <w:pStyle w:val="83"/>
              <w:spacing w:after="0"/>
              <w:ind w:left="100"/>
              <w:rPr>
                <w:rFonts w:eastAsia="宋体"/>
                <w:lang w:val="en-US" w:eastAsia="zh-CN"/>
              </w:rPr>
            </w:pPr>
            <w:r>
              <w:rPr>
                <w:rFonts w:hint="eastAsia"/>
              </w:rPr>
              <w:t>TEI18_Test, LTE_NBIOT_eMTC_NTN_req-UEConTest</w:t>
            </w:r>
          </w:p>
        </w:tc>
        <w:tc>
          <w:tcPr>
            <w:tcW w:w="567" w:type="dxa"/>
            <w:tcBorders>
              <w:left w:val="nil"/>
            </w:tcBorders>
          </w:tcPr>
          <w:p w14:paraId="32B34156">
            <w:pPr>
              <w:pStyle w:val="83"/>
              <w:spacing w:after="0"/>
              <w:ind w:right="100"/>
            </w:pPr>
          </w:p>
        </w:tc>
        <w:tc>
          <w:tcPr>
            <w:tcW w:w="1417" w:type="dxa"/>
            <w:gridSpan w:val="3"/>
            <w:tcBorders>
              <w:left w:val="nil"/>
            </w:tcBorders>
          </w:tcPr>
          <w:p w14:paraId="52D90806">
            <w:pPr>
              <w:pStyle w:val="83"/>
              <w:spacing w:after="0"/>
              <w:jc w:val="right"/>
            </w:pPr>
            <w:r>
              <w:rPr>
                <w:b/>
                <w:i/>
              </w:rPr>
              <w:t>Date:</w:t>
            </w:r>
          </w:p>
        </w:tc>
        <w:tc>
          <w:tcPr>
            <w:tcW w:w="2127" w:type="dxa"/>
            <w:tcBorders>
              <w:right w:val="single" w:color="auto" w:sz="4" w:space="0"/>
            </w:tcBorders>
            <w:shd w:val="pct30" w:color="FFFF00" w:fill="auto"/>
          </w:tcPr>
          <w:p w14:paraId="532DE0E4">
            <w:pPr>
              <w:pStyle w:val="83"/>
              <w:spacing w:after="0"/>
              <w:ind w:left="100"/>
              <w:rPr>
                <w:rFonts w:hint="default" w:eastAsia="宋体"/>
                <w:lang w:val="en-US" w:eastAsia="zh-CN"/>
              </w:rPr>
            </w:pPr>
            <w:r>
              <w:rPr>
                <w:rFonts w:hint="eastAsia" w:eastAsia="宋体"/>
                <w:lang w:val="en-US" w:eastAsia="zh-CN"/>
              </w:rPr>
              <w:t>2025-04-22</w:t>
            </w:r>
          </w:p>
        </w:tc>
      </w:tr>
      <w:tr w14:paraId="3E633112">
        <w:tblPrEx>
          <w:tblCellMar>
            <w:top w:w="0" w:type="dxa"/>
            <w:left w:w="42" w:type="dxa"/>
            <w:bottom w:w="0" w:type="dxa"/>
            <w:right w:w="42" w:type="dxa"/>
          </w:tblCellMar>
        </w:tblPrEx>
        <w:tc>
          <w:tcPr>
            <w:tcW w:w="1843" w:type="dxa"/>
            <w:tcBorders>
              <w:left w:val="single" w:color="auto" w:sz="4" w:space="0"/>
            </w:tcBorders>
          </w:tcPr>
          <w:p w14:paraId="09CBC5FC">
            <w:pPr>
              <w:pStyle w:val="83"/>
              <w:spacing w:after="0"/>
              <w:rPr>
                <w:b/>
                <w:i/>
                <w:sz w:val="8"/>
                <w:szCs w:val="8"/>
              </w:rPr>
            </w:pPr>
          </w:p>
        </w:tc>
        <w:tc>
          <w:tcPr>
            <w:tcW w:w="1986" w:type="dxa"/>
            <w:gridSpan w:val="4"/>
          </w:tcPr>
          <w:p w14:paraId="20B62E0F">
            <w:pPr>
              <w:pStyle w:val="83"/>
              <w:spacing w:after="0"/>
              <w:rPr>
                <w:sz w:val="8"/>
                <w:szCs w:val="8"/>
              </w:rPr>
            </w:pPr>
          </w:p>
        </w:tc>
        <w:tc>
          <w:tcPr>
            <w:tcW w:w="2267" w:type="dxa"/>
            <w:gridSpan w:val="2"/>
          </w:tcPr>
          <w:p w14:paraId="78716E3A">
            <w:pPr>
              <w:pStyle w:val="83"/>
              <w:spacing w:after="0"/>
              <w:rPr>
                <w:sz w:val="8"/>
                <w:szCs w:val="8"/>
              </w:rPr>
            </w:pPr>
          </w:p>
        </w:tc>
        <w:tc>
          <w:tcPr>
            <w:tcW w:w="1417" w:type="dxa"/>
            <w:gridSpan w:val="3"/>
          </w:tcPr>
          <w:p w14:paraId="6B177595">
            <w:pPr>
              <w:pStyle w:val="83"/>
              <w:spacing w:after="0"/>
              <w:rPr>
                <w:sz w:val="8"/>
                <w:szCs w:val="8"/>
              </w:rPr>
            </w:pPr>
          </w:p>
        </w:tc>
        <w:tc>
          <w:tcPr>
            <w:tcW w:w="2127" w:type="dxa"/>
            <w:tcBorders>
              <w:right w:val="single" w:color="auto" w:sz="4" w:space="0"/>
            </w:tcBorders>
          </w:tcPr>
          <w:p w14:paraId="7E170718">
            <w:pPr>
              <w:pStyle w:val="83"/>
              <w:spacing w:after="0"/>
              <w:rPr>
                <w:sz w:val="8"/>
                <w:szCs w:val="8"/>
              </w:rPr>
            </w:pPr>
          </w:p>
        </w:tc>
      </w:tr>
      <w:tr w14:paraId="38A066A7">
        <w:tblPrEx>
          <w:tblCellMar>
            <w:top w:w="0" w:type="dxa"/>
            <w:left w:w="42" w:type="dxa"/>
            <w:bottom w:w="0" w:type="dxa"/>
            <w:right w:w="42" w:type="dxa"/>
          </w:tblCellMar>
        </w:tblPrEx>
        <w:trPr>
          <w:cantSplit/>
        </w:trPr>
        <w:tc>
          <w:tcPr>
            <w:tcW w:w="1843" w:type="dxa"/>
            <w:tcBorders>
              <w:left w:val="single" w:color="auto" w:sz="4" w:space="0"/>
            </w:tcBorders>
          </w:tcPr>
          <w:p w14:paraId="59B3A771">
            <w:pPr>
              <w:pStyle w:val="83"/>
              <w:tabs>
                <w:tab w:val="right" w:pos="1759"/>
              </w:tabs>
              <w:spacing w:after="0"/>
              <w:rPr>
                <w:b/>
                <w:i/>
              </w:rPr>
            </w:pPr>
            <w:r>
              <w:rPr>
                <w:b/>
                <w:i/>
              </w:rPr>
              <w:t>Category:</w:t>
            </w:r>
          </w:p>
        </w:tc>
        <w:tc>
          <w:tcPr>
            <w:tcW w:w="851" w:type="dxa"/>
            <w:shd w:val="pct30" w:color="FFFF00" w:fill="auto"/>
          </w:tcPr>
          <w:p w14:paraId="0E9EC7F8">
            <w:pPr>
              <w:pStyle w:val="83"/>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2ED311F7">
            <w:pPr>
              <w:pStyle w:val="83"/>
              <w:spacing w:after="0"/>
            </w:pPr>
          </w:p>
        </w:tc>
        <w:tc>
          <w:tcPr>
            <w:tcW w:w="1417" w:type="dxa"/>
            <w:gridSpan w:val="3"/>
            <w:tcBorders>
              <w:left w:val="nil"/>
            </w:tcBorders>
          </w:tcPr>
          <w:p w14:paraId="33C97EDF">
            <w:pPr>
              <w:pStyle w:val="83"/>
              <w:spacing w:after="0"/>
              <w:jc w:val="right"/>
              <w:rPr>
                <w:b/>
                <w:i/>
              </w:rPr>
            </w:pPr>
            <w:r>
              <w:rPr>
                <w:b/>
                <w:i/>
              </w:rPr>
              <w:t>Release:</w:t>
            </w:r>
          </w:p>
        </w:tc>
        <w:tc>
          <w:tcPr>
            <w:tcW w:w="2127" w:type="dxa"/>
            <w:tcBorders>
              <w:right w:val="single" w:color="auto" w:sz="4" w:space="0"/>
            </w:tcBorders>
            <w:shd w:val="pct30" w:color="FFFF00" w:fill="auto"/>
          </w:tcPr>
          <w:p w14:paraId="30374A36">
            <w:pPr>
              <w:pStyle w:val="83"/>
              <w:spacing w:after="0"/>
              <w:ind w:left="100"/>
              <w:rPr>
                <w:rFonts w:eastAsia="宋体"/>
                <w:lang w:val="en-US" w:eastAsia="zh-CN"/>
              </w:rPr>
            </w:pPr>
            <w:r>
              <w:rPr>
                <w:rFonts w:hint="eastAsia" w:eastAsia="宋体"/>
                <w:lang w:val="en-US" w:eastAsia="zh-CN"/>
              </w:rPr>
              <w:t>Rel-18</w:t>
            </w:r>
          </w:p>
        </w:tc>
      </w:tr>
      <w:tr w14:paraId="51719346">
        <w:tblPrEx>
          <w:tblCellMar>
            <w:top w:w="0" w:type="dxa"/>
            <w:left w:w="42" w:type="dxa"/>
            <w:bottom w:w="0" w:type="dxa"/>
            <w:right w:w="42" w:type="dxa"/>
          </w:tblCellMar>
        </w:tblPrEx>
        <w:tc>
          <w:tcPr>
            <w:tcW w:w="1843" w:type="dxa"/>
            <w:tcBorders>
              <w:left w:val="single" w:color="auto" w:sz="4" w:space="0"/>
              <w:bottom w:val="single" w:color="auto" w:sz="4" w:space="0"/>
            </w:tcBorders>
          </w:tcPr>
          <w:p w14:paraId="0C3A6250">
            <w:pPr>
              <w:pStyle w:val="83"/>
              <w:spacing w:after="0"/>
              <w:rPr>
                <w:b/>
                <w:i/>
              </w:rPr>
            </w:pPr>
          </w:p>
        </w:tc>
        <w:tc>
          <w:tcPr>
            <w:tcW w:w="4677" w:type="dxa"/>
            <w:gridSpan w:val="8"/>
            <w:tcBorders>
              <w:bottom w:val="single" w:color="auto" w:sz="4" w:space="0"/>
            </w:tcBorders>
          </w:tcPr>
          <w:p w14:paraId="03B42713">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CAA7196">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40F9A49B">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249775C">
        <w:tblPrEx>
          <w:tblCellMar>
            <w:top w:w="0" w:type="dxa"/>
            <w:left w:w="42" w:type="dxa"/>
            <w:bottom w:w="0" w:type="dxa"/>
            <w:right w:w="42" w:type="dxa"/>
          </w:tblCellMar>
        </w:tblPrEx>
        <w:tc>
          <w:tcPr>
            <w:tcW w:w="1843" w:type="dxa"/>
          </w:tcPr>
          <w:p w14:paraId="74FD64A3">
            <w:pPr>
              <w:pStyle w:val="83"/>
              <w:spacing w:after="0"/>
              <w:rPr>
                <w:b/>
                <w:i/>
                <w:sz w:val="8"/>
                <w:szCs w:val="8"/>
              </w:rPr>
            </w:pPr>
          </w:p>
        </w:tc>
        <w:tc>
          <w:tcPr>
            <w:tcW w:w="7797" w:type="dxa"/>
            <w:gridSpan w:val="10"/>
          </w:tcPr>
          <w:p w14:paraId="02C5DCAB">
            <w:pPr>
              <w:pStyle w:val="83"/>
              <w:spacing w:after="0"/>
              <w:rPr>
                <w:sz w:val="8"/>
                <w:szCs w:val="8"/>
              </w:rPr>
            </w:pPr>
          </w:p>
        </w:tc>
      </w:tr>
      <w:tr w14:paraId="46741EA5">
        <w:tblPrEx>
          <w:tblCellMar>
            <w:top w:w="0" w:type="dxa"/>
            <w:left w:w="42" w:type="dxa"/>
            <w:bottom w:w="0" w:type="dxa"/>
            <w:right w:w="42" w:type="dxa"/>
          </w:tblCellMar>
        </w:tblPrEx>
        <w:trPr>
          <w:trHeight w:val="309" w:hRule="atLeast"/>
        </w:trPr>
        <w:tc>
          <w:tcPr>
            <w:tcW w:w="2694" w:type="dxa"/>
            <w:gridSpan w:val="2"/>
            <w:tcBorders>
              <w:top w:val="single" w:color="auto" w:sz="4" w:space="0"/>
              <w:left w:val="single" w:color="auto" w:sz="4" w:space="0"/>
            </w:tcBorders>
          </w:tcPr>
          <w:p w14:paraId="0715A497">
            <w:pPr>
              <w:pStyle w:val="83"/>
              <w:spacing w:after="0"/>
              <w:rPr>
                <w:rFonts w:hint="eastAsia" w:eastAsia="宋体" w:cs="Times New Roman"/>
                <w:lang w:val="en-US" w:eastAsia="zh-CN"/>
              </w:rPr>
            </w:pPr>
            <w:r>
              <w:rPr>
                <w:rFonts w:hint="eastAsia" w:eastAsia="Times New Roman" w:cs="Times New Roman"/>
                <w:b/>
                <w:i/>
                <w:lang w:val="en-US" w:eastAsia="zh-CN"/>
              </w:rPr>
              <w:t>Reason for change:</w:t>
            </w:r>
          </w:p>
        </w:tc>
        <w:tc>
          <w:tcPr>
            <w:tcW w:w="6946" w:type="dxa"/>
            <w:gridSpan w:val="9"/>
            <w:tcBorders>
              <w:top w:val="single" w:color="auto" w:sz="4" w:space="0"/>
              <w:right w:val="single" w:color="auto" w:sz="4" w:space="0"/>
            </w:tcBorders>
            <w:shd w:val="pct30" w:color="FFFF00" w:fill="auto"/>
            <w:vAlign w:val="top"/>
          </w:tcPr>
          <w:p w14:paraId="00DAB07F">
            <w:pPr>
              <w:pStyle w:val="83"/>
              <w:spacing w:after="0"/>
              <w:ind w:left="100" w:leftChars="0"/>
              <w:rPr>
                <w:rFonts w:hint="default" w:eastAsia="宋体" w:cs="Times New Roman"/>
                <w:lang w:val="en-US" w:eastAsia="zh-CN"/>
              </w:rPr>
            </w:pPr>
            <w:bookmarkStart w:id="1" w:name="OLE_LINK2"/>
            <w:r>
              <w:rPr>
                <w:rFonts w:hint="eastAsia" w:eastAsia="宋体"/>
                <w:highlight w:val="none"/>
                <w:lang w:val="en-US" w:eastAsia="zh-CN"/>
              </w:rPr>
              <w:t>IoT NTN/eMTC NTN</w:t>
            </w:r>
            <w:r>
              <w:rPr>
                <w:rFonts w:hint="default" w:eastAsia="宋体"/>
                <w:highlight w:val="none"/>
                <w:lang w:val="en-US" w:eastAsia="zh-CN"/>
              </w:rPr>
              <w:t xml:space="preserve"> TCs</w:t>
            </w:r>
            <w:bookmarkEnd w:id="1"/>
            <w:r>
              <w:rPr>
                <w:rFonts w:hint="eastAsia" w:eastAsia="宋体"/>
                <w:highlight w:val="none"/>
                <w:lang w:val="en-US" w:eastAsia="zh-CN"/>
              </w:rPr>
              <w:t xml:space="preserve"> in TS36.521-4</w:t>
            </w:r>
            <w:r>
              <w:rPr>
                <w:rFonts w:hint="default" w:eastAsia="宋体"/>
                <w:highlight w:val="none"/>
                <w:lang w:val="en-US" w:eastAsia="zh-CN"/>
              </w:rPr>
              <w:t xml:space="preserve"> need to be updated according to RAN4 latest spec</w:t>
            </w:r>
            <w:r>
              <w:rPr>
                <w:rFonts w:hint="eastAsia" w:eastAsia="宋体"/>
                <w:highlight w:val="none"/>
                <w:lang w:val="en-US" w:eastAsia="zh-CN"/>
              </w:rPr>
              <w:t>.</w:t>
            </w:r>
          </w:p>
        </w:tc>
      </w:tr>
      <w:tr w14:paraId="24420D14">
        <w:tblPrEx>
          <w:tblCellMar>
            <w:top w:w="0" w:type="dxa"/>
            <w:left w:w="42" w:type="dxa"/>
            <w:bottom w:w="0" w:type="dxa"/>
            <w:right w:w="42" w:type="dxa"/>
          </w:tblCellMar>
        </w:tblPrEx>
        <w:tc>
          <w:tcPr>
            <w:tcW w:w="2694" w:type="dxa"/>
            <w:gridSpan w:val="2"/>
            <w:tcBorders>
              <w:left w:val="single" w:color="auto" w:sz="4" w:space="0"/>
            </w:tcBorders>
          </w:tcPr>
          <w:p w14:paraId="30FFE616">
            <w:pPr>
              <w:pStyle w:val="83"/>
              <w:spacing w:after="0"/>
              <w:rPr>
                <w:b/>
                <w:i/>
                <w:sz w:val="8"/>
                <w:szCs w:val="8"/>
              </w:rPr>
            </w:pPr>
          </w:p>
        </w:tc>
        <w:tc>
          <w:tcPr>
            <w:tcW w:w="6946" w:type="dxa"/>
            <w:gridSpan w:val="9"/>
            <w:tcBorders>
              <w:right w:val="single" w:color="auto" w:sz="4" w:space="0"/>
            </w:tcBorders>
            <w:vAlign w:val="top"/>
          </w:tcPr>
          <w:p w14:paraId="1F02E1FC">
            <w:pPr>
              <w:pStyle w:val="83"/>
              <w:spacing w:after="0"/>
              <w:rPr>
                <w:sz w:val="8"/>
                <w:szCs w:val="8"/>
              </w:rPr>
            </w:pPr>
          </w:p>
        </w:tc>
      </w:tr>
      <w:tr w14:paraId="2BC39A6B">
        <w:tblPrEx>
          <w:tblCellMar>
            <w:top w:w="0" w:type="dxa"/>
            <w:left w:w="42" w:type="dxa"/>
            <w:bottom w:w="0" w:type="dxa"/>
            <w:right w:w="42" w:type="dxa"/>
          </w:tblCellMar>
        </w:tblPrEx>
        <w:tc>
          <w:tcPr>
            <w:tcW w:w="2694" w:type="dxa"/>
            <w:gridSpan w:val="2"/>
            <w:tcBorders>
              <w:left w:val="single" w:color="auto" w:sz="4" w:space="0"/>
            </w:tcBorders>
          </w:tcPr>
          <w:p w14:paraId="12AA6534">
            <w:pPr>
              <w:pStyle w:val="83"/>
              <w:spacing w:after="0"/>
              <w:rPr>
                <w:rFonts w:hint="eastAsia" w:eastAsia="宋体" w:cs="Times New Roman"/>
                <w:lang w:val="en-US" w:eastAsia="zh-CN"/>
              </w:rPr>
            </w:pPr>
            <w:r>
              <w:rPr>
                <w:rFonts w:hint="eastAsia" w:eastAsia="Times New Roman" w:cs="Times New Roman"/>
                <w:b/>
                <w:i/>
                <w:lang w:val="en-US" w:eastAsia="zh-CN"/>
              </w:rPr>
              <w:t>Summary of change:</w:t>
            </w:r>
          </w:p>
        </w:tc>
        <w:tc>
          <w:tcPr>
            <w:tcW w:w="6946" w:type="dxa"/>
            <w:gridSpan w:val="9"/>
            <w:tcBorders>
              <w:right w:val="single" w:color="auto" w:sz="4" w:space="0"/>
            </w:tcBorders>
            <w:shd w:val="pct30" w:color="FFFF00" w:fill="auto"/>
            <w:vAlign w:val="top"/>
          </w:tcPr>
          <w:p w14:paraId="1328FAF0">
            <w:pPr>
              <w:pStyle w:val="83"/>
              <w:numPr>
                <w:ilvl w:val="0"/>
                <w:numId w:val="1"/>
              </w:numPr>
              <w:spacing w:after="0"/>
              <w:ind w:left="100" w:leftChars="0"/>
              <w:rPr>
                <w:rFonts w:hint="eastAsia" w:eastAsia="宋体" w:cs="Times New Roman"/>
                <w:lang w:val="en-US" w:eastAsia="zh-CN"/>
              </w:rPr>
            </w:pPr>
            <w:r>
              <w:rPr>
                <w:rFonts w:hint="eastAsia" w:eastAsia="宋体"/>
                <w:highlight w:val="none"/>
                <w:lang w:val="en-US" w:eastAsia="zh-CN"/>
              </w:rPr>
              <w:t>IoT NTN/eMTC NTN</w:t>
            </w:r>
            <w:r>
              <w:rPr>
                <w:rFonts w:hint="default" w:eastAsia="宋体"/>
                <w:highlight w:val="none"/>
                <w:lang w:val="en-US" w:eastAsia="zh-CN"/>
              </w:rPr>
              <w:t xml:space="preserve"> TCs</w:t>
            </w:r>
            <w:r>
              <w:rPr>
                <w:rFonts w:hint="default"/>
                <w:lang w:val="en-US"/>
              </w:rPr>
              <w:t xml:space="preserve">2, 5.2B, 5.4A.3, 5.4B.1, 5.4B.2, 5.4B.3, </w:t>
            </w:r>
            <w:r>
              <w:t>6.5A.4.3</w:t>
            </w:r>
            <w:r>
              <w:rPr>
                <w:rFonts w:hint="default"/>
                <w:lang w:val="en-US"/>
              </w:rPr>
              <w:t>, 7.1, 7.3A, 7.3B</w:t>
            </w:r>
            <w:r>
              <w:rPr>
                <w:rFonts w:hint="eastAsia" w:eastAsia="宋体"/>
                <w:lang w:val="en-US" w:eastAsia="zh-CN"/>
              </w:rPr>
              <w:t xml:space="preserve"> and</w:t>
            </w:r>
            <w:r>
              <w:rPr>
                <w:rFonts w:hint="default"/>
                <w:lang w:val="en-US"/>
              </w:rPr>
              <w:t xml:space="preserve"> </w:t>
            </w:r>
            <w:r>
              <w:t>8.1.2.2</w:t>
            </w:r>
            <w:r>
              <w:rPr>
                <w:rFonts w:hint="eastAsia" w:eastAsia="宋体"/>
                <w:lang w:val="en-US" w:eastAsia="zh-CN"/>
              </w:rPr>
              <w:t xml:space="preserve"> parts </w:t>
            </w:r>
            <w:r>
              <w:rPr>
                <w:rFonts w:hint="eastAsia" w:eastAsia="宋体"/>
                <w:highlight w:val="none"/>
                <w:lang w:val="en-US" w:eastAsia="zh-CN"/>
              </w:rPr>
              <w:t>ha</w:t>
            </w:r>
            <w:r>
              <w:rPr>
                <w:rFonts w:hint="default" w:eastAsia="宋体"/>
                <w:highlight w:val="none"/>
                <w:lang w:val="en-US" w:eastAsia="zh-CN"/>
              </w:rPr>
              <w:t>ve</w:t>
            </w:r>
            <w:r>
              <w:rPr>
                <w:rFonts w:hint="eastAsia" w:eastAsia="宋体"/>
                <w:highlight w:val="none"/>
                <w:lang w:val="en-US" w:eastAsia="zh-CN"/>
              </w:rPr>
              <w:t xml:space="preserve"> been updated.</w:t>
            </w:r>
          </w:p>
          <w:p w14:paraId="4C47F3FF">
            <w:pPr>
              <w:pStyle w:val="83"/>
              <w:numPr>
                <w:ilvl w:val="0"/>
                <w:numId w:val="1"/>
              </w:numPr>
              <w:spacing w:after="0"/>
              <w:ind w:left="100" w:leftChars="0"/>
              <w:rPr>
                <w:rFonts w:hint="eastAsia" w:eastAsia="宋体" w:cs="Times New Roman"/>
                <w:lang w:val="en-US" w:eastAsia="zh-CN"/>
              </w:rPr>
            </w:pPr>
            <w:r>
              <w:rPr>
                <w:rFonts w:hint="default" w:eastAsia="宋体"/>
                <w:highlight w:val="none"/>
                <w:lang w:val="en-US" w:eastAsia="zh-CN"/>
              </w:rPr>
              <w:t>Added TS 38.101-5 in Chapter 2 References part.</w:t>
            </w:r>
          </w:p>
        </w:tc>
      </w:tr>
      <w:tr w14:paraId="34703BA9">
        <w:tblPrEx>
          <w:tblCellMar>
            <w:top w:w="0" w:type="dxa"/>
            <w:left w:w="42" w:type="dxa"/>
            <w:bottom w:w="0" w:type="dxa"/>
            <w:right w:w="42" w:type="dxa"/>
          </w:tblCellMar>
        </w:tblPrEx>
        <w:tc>
          <w:tcPr>
            <w:tcW w:w="2694" w:type="dxa"/>
            <w:gridSpan w:val="2"/>
            <w:tcBorders>
              <w:left w:val="single" w:color="auto" w:sz="4" w:space="0"/>
            </w:tcBorders>
          </w:tcPr>
          <w:p w14:paraId="11D31692">
            <w:pPr>
              <w:pStyle w:val="83"/>
              <w:spacing w:after="0"/>
              <w:rPr>
                <w:b/>
                <w:i/>
                <w:sz w:val="8"/>
                <w:szCs w:val="8"/>
              </w:rPr>
            </w:pPr>
          </w:p>
        </w:tc>
        <w:tc>
          <w:tcPr>
            <w:tcW w:w="6946" w:type="dxa"/>
            <w:gridSpan w:val="9"/>
            <w:tcBorders>
              <w:right w:val="single" w:color="auto" w:sz="4" w:space="0"/>
            </w:tcBorders>
            <w:vAlign w:val="top"/>
          </w:tcPr>
          <w:p w14:paraId="3ED2197F">
            <w:pPr>
              <w:pStyle w:val="83"/>
              <w:spacing w:after="0"/>
              <w:rPr>
                <w:sz w:val="8"/>
                <w:szCs w:val="8"/>
              </w:rPr>
            </w:pPr>
          </w:p>
        </w:tc>
      </w:tr>
      <w:tr w14:paraId="2987B83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2401AB">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34E2194C">
            <w:pPr>
              <w:pStyle w:val="83"/>
              <w:spacing w:after="0"/>
              <w:ind w:left="100" w:leftChars="0"/>
              <w:rPr>
                <w:rFonts w:hint="default"/>
                <w:lang w:val="en-US"/>
              </w:rPr>
            </w:pPr>
            <w:r>
              <w:rPr>
                <w:rFonts w:hint="eastAsia" w:eastAsia="宋体"/>
                <w:highlight w:val="none"/>
                <w:lang w:val="en-US" w:eastAsia="zh-CN"/>
              </w:rPr>
              <w:t xml:space="preserve">The </w:t>
            </w:r>
            <w:r>
              <w:rPr>
                <w:rFonts w:hint="default" w:eastAsia="宋体"/>
                <w:highlight w:val="none"/>
                <w:lang w:val="en-US" w:eastAsia="zh-CN"/>
              </w:rPr>
              <w:t xml:space="preserve">current IoT NTN minimum conformance requirements </w:t>
            </w:r>
            <w:r>
              <w:rPr>
                <w:rFonts w:hint="eastAsia" w:eastAsia="宋体"/>
                <w:highlight w:val="none"/>
                <w:lang w:val="en-US" w:eastAsia="zh-CN"/>
              </w:rPr>
              <w:t>will</w:t>
            </w:r>
            <w:r>
              <w:rPr>
                <w:rFonts w:hint="default" w:eastAsia="宋体"/>
                <w:highlight w:val="none"/>
                <w:lang w:val="en-US" w:eastAsia="zh-CN"/>
              </w:rPr>
              <w:t xml:space="preserve"> not </w:t>
            </w:r>
            <w:r>
              <w:rPr>
                <w:rFonts w:hint="eastAsia" w:eastAsia="宋体"/>
                <w:highlight w:val="none"/>
                <w:lang w:val="en-US" w:eastAsia="zh-CN"/>
              </w:rPr>
              <w:t xml:space="preserve">be </w:t>
            </w:r>
            <w:r>
              <w:rPr>
                <w:rFonts w:hint="default" w:eastAsia="宋体"/>
                <w:highlight w:val="none"/>
                <w:lang w:val="en-US" w:eastAsia="zh-CN"/>
              </w:rPr>
              <w:t>aligned with RAN4 latest spec.</w:t>
            </w:r>
          </w:p>
        </w:tc>
      </w:tr>
      <w:tr w14:paraId="06B8D17B">
        <w:tblPrEx>
          <w:tblCellMar>
            <w:top w:w="0" w:type="dxa"/>
            <w:left w:w="42" w:type="dxa"/>
            <w:bottom w:w="0" w:type="dxa"/>
            <w:right w:w="42" w:type="dxa"/>
          </w:tblCellMar>
        </w:tblPrEx>
        <w:tc>
          <w:tcPr>
            <w:tcW w:w="2694" w:type="dxa"/>
            <w:gridSpan w:val="2"/>
          </w:tcPr>
          <w:p w14:paraId="743F2E3F">
            <w:pPr>
              <w:pStyle w:val="83"/>
              <w:spacing w:after="0"/>
              <w:rPr>
                <w:b/>
                <w:i/>
                <w:sz w:val="8"/>
                <w:szCs w:val="8"/>
              </w:rPr>
            </w:pPr>
          </w:p>
        </w:tc>
        <w:tc>
          <w:tcPr>
            <w:tcW w:w="6946" w:type="dxa"/>
            <w:gridSpan w:val="9"/>
          </w:tcPr>
          <w:p w14:paraId="7A352665">
            <w:pPr>
              <w:pStyle w:val="83"/>
              <w:spacing w:after="0"/>
              <w:rPr>
                <w:sz w:val="8"/>
                <w:szCs w:val="8"/>
              </w:rPr>
            </w:pPr>
          </w:p>
        </w:tc>
      </w:tr>
      <w:tr w14:paraId="6328E55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6154D2D">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B3A01B">
            <w:pPr>
              <w:pStyle w:val="83"/>
              <w:spacing w:after="0"/>
              <w:ind w:left="100"/>
              <w:rPr>
                <w:rFonts w:hint="default" w:eastAsia="宋体"/>
                <w:highlight w:val="none"/>
                <w:lang w:val="en-US" w:eastAsia="zh-CN"/>
              </w:rPr>
            </w:pPr>
            <w:r>
              <w:rPr>
                <w:rFonts w:hint="default"/>
                <w:lang w:val="en-US"/>
              </w:rPr>
              <w:t xml:space="preserve">2, 5.2B, 5.4A.3, 5.4B.1, 5.4B.2, 5.4B.3, </w:t>
            </w:r>
            <w:r>
              <w:t>6.5A.4.3</w:t>
            </w:r>
            <w:r>
              <w:rPr>
                <w:rFonts w:hint="default"/>
                <w:lang w:val="en-US"/>
              </w:rPr>
              <w:t>, 7.1, 7.3A, 7.3B</w:t>
            </w:r>
          </w:p>
        </w:tc>
      </w:tr>
      <w:tr w14:paraId="78989E44">
        <w:tblPrEx>
          <w:tblCellMar>
            <w:top w:w="0" w:type="dxa"/>
            <w:left w:w="42" w:type="dxa"/>
            <w:bottom w:w="0" w:type="dxa"/>
            <w:right w:w="42" w:type="dxa"/>
          </w:tblCellMar>
        </w:tblPrEx>
        <w:tc>
          <w:tcPr>
            <w:tcW w:w="2694" w:type="dxa"/>
            <w:gridSpan w:val="2"/>
            <w:tcBorders>
              <w:left w:val="single" w:color="auto" w:sz="4" w:space="0"/>
            </w:tcBorders>
          </w:tcPr>
          <w:p w14:paraId="15B2A706">
            <w:pPr>
              <w:pStyle w:val="83"/>
              <w:spacing w:after="0"/>
              <w:rPr>
                <w:b/>
                <w:i/>
                <w:sz w:val="8"/>
                <w:szCs w:val="8"/>
              </w:rPr>
            </w:pPr>
          </w:p>
        </w:tc>
        <w:tc>
          <w:tcPr>
            <w:tcW w:w="6946" w:type="dxa"/>
            <w:gridSpan w:val="9"/>
            <w:tcBorders>
              <w:right w:val="single" w:color="auto" w:sz="4" w:space="0"/>
            </w:tcBorders>
          </w:tcPr>
          <w:p w14:paraId="75C1E183">
            <w:pPr>
              <w:pStyle w:val="83"/>
              <w:spacing w:after="0"/>
              <w:rPr>
                <w:sz w:val="8"/>
                <w:szCs w:val="8"/>
              </w:rPr>
            </w:pPr>
          </w:p>
        </w:tc>
      </w:tr>
      <w:tr w14:paraId="41BA91F3">
        <w:tblPrEx>
          <w:tblCellMar>
            <w:top w:w="0" w:type="dxa"/>
            <w:left w:w="42" w:type="dxa"/>
            <w:bottom w:w="0" w:type="dxa"/>
            <w:right w:w="42" w:type="dxa"/>
          </w:tblCellMar>
        </w:tblPrEx>
        <w:tc>
          <w:tcPr>
            <w:tcW w:w="2694" w:type="dxa"/>
            <w:gridSpan w:val="2"/>
            <w:tcBorders>
              <w:left w:val="single" w:color="auto" w:sz="4" w:space="0"/>
            </w:tcBorders>
          </w:tcPr>
          <w:p w14:paraId="6F8F0259">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48E183B3">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B7337A9">
            <w:pPr>
              <w:pStyle w:val="83"/>
              <w:spacing w:after="0"/>
              <w:jc w:val="center"/>
              <w:rPr>
                <w:b/>
                <w:caps/>
              </w:rPr>
            </w:pPr>
            <w:r>
              <w:rPr>
                <w:b/>
                <w:caps/>
              </w:rPr>
              <w:t>N</w:t>
            </w:r>
          </w:p>
        </w:tc>
        <w:tc>
          <w:tcPr>
            <w:tcW w:w="2977" w:type="dxa"/>
            <w:gridSpan w:val="4"/>
          </w:tcPr>
          <w:p w14:paraId="38F27F95">
            <w:pPr>
              <w:pStyle w:val="83"/>
              <w:tabs>
                <w:tab w:val="right" w:pos="2893"/>
              </w:tabs>
              <w:spacing w:after="0"/>
            </w:pPr>
          </w:p>
        </w:tc>
        <w:tc>
          <w:tcPr>
            <w:tcW w:w="3401" w:type="dxa"/>
            <w:gridSpan w:val="3"/>
            <w:tcBorders>
              <w:right w:val="single" w:color="auto" w:sz="4" w:space="0"/>
            </w:tcBorders>
            <w:shd w:val="clear" w:color="FFFF00" w:fill="auto"/>
          </w:tcPr>
          <w:p w14:paraId="040778D3">
            <w:pPr>
              <w:pStyle w:val="83"/>
              <w:spacing w:after="0"/>
              <w:ind w:left="99"/>
            </w:pPr>
          </w:p>
        </w:tc>
      </w:tr>
      <w:tr w14:paraId="35BB9711">
        <w:tblPrEx>
          <w:tblCellMar>
            <w:top w:w="0" w:type="dxa"/>
            <w:left w:w="42" w:type="dxa"/>
            <w:bottom w:w="0" w:type="dxa"/>
            <w:right w:w="42" w:type="dxa"/>
          </w:tblCellMar>
        </w:tblPrEx>
        <w:tc>
          <w:tcPr>
            <w:tcW w:w="2694" w:type="dxa"/>
            <w:gridSpan w:val="2"/>
            <w:tcBorders>
              <w:left w:val="single" w:color="auto" w:sz="4" w:space="0"/>
            </w:tcBorders>
          </w:tcPr>
          <w:p w14:paraId="6C31C2AB">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417E207">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A50205">
            <w:pPr>
              <w:pStyle w:val="83"/>
              <w:spacing w:after="0"/>
              <w:jc w:val="center"/>
              <w:rPr>
                <w:b/>
                <w:caps/>
                <w:lang w:val="en-US"/>
              </w:rPr>
            </w:pPr>
            <w:r>
              <w:rPr>
                <w:b/>
                <w:caps/>
                <w:lang w:val="en-US"/>
              </w:rPr>
              <w:t>X</w:t>
            </w:r>
          </w:p>
        </w:tc>
        <w:tc>
          <w:tcPr>
            <w:tcW w:w="2977" w:type="dxa"/>
            <w:gridSpan w:val="4"/>
          </w:tcPr>
          <w:p w14:paraId="4154C051">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E454C80">
            <w:pPr>
              <w:pStyle w:val="83"/>
              <w:spacing w:after="0"/>
              <w:ind w:left="99"/>
            </w:pPr>
            <w:bookmarkStart w:id="2" w:name="OLE_LINK1"/>
            <w:r>
              <w:t xml:space="preserve">TS/TR ... CR ... </w:t>
            </w:r>
            <w:bookmarkEnd w:id="2"/>
          </w:p>
        </w:tc>
      </w:tr>
      <w:tr w14:paraId="63646B15">
        <w:tblPrEx>
          <w:tblCellMar>
            <w:top w:w="0" w:type="dxa"/>
            <w:left w:w="42" w:type="dxa"/>
            <w:bottom w:w="0" w:type="dxa"/>
            <w:right w:w="42" w:type="dxa"/>
          </w:tblCellMar>
        </w:tblPrEx>
        <w:tc>
          <w:tcPr>
            <w:tcW w:w="2694" w:type="dxa"/>
            <w:gridSpan w:val="2"/>
            <w:tcBorders>
              <w:left w:val="single" w:color="auto" w:sz="4" w:space="0"/>
            </w:tcBorders>
          </w:tcPr>
          <w:p w14:paraId="4C6837EE">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17ED16C">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DB2538">
            <w:pPr>
              <w:pStyle w:val="83"/>
              <w:spacing w:after="0"/>
              <w:jc w:val="center"/>
              <w:rPr>
                <w:b/>
                <w:caps/>
                <w:lang w:val="en-US"/>
              </w:rPr>
            </w:pPr>
            <w:r>
              <w:rPr>
                <w:b/>
                <w:caps/>
                <w:lang w:val="en-US"/>
              </w:rPr>
              <w:t>X</w:t>
            </w:r>
          </w:p>
        </w:tc>
        <w:tc>
          <w:tcPr>
            <w:tcW w:w="2977" w:type="dxa"/>
            <w:gridSpan w:val="4"/>
          </w:tcPr>
          <w:p w14:paraId="2EE40284">
            <w:pPr>
              <w:pStyle w:val="83"/>
              <w:spacing w:after="0"/>
            </w:pPr>
            <w:r>
              <w:t xml:space="preserve"> Test specifications</w:t>
            </w:r>
          </w:p>
        </w:tc>
        <w:tc>
          <w:tcPr>
            <w:tcW w:w="3401" w:type="dxa"/>
            <w:gridSpan w:val="3"/>
            <w:tcBorders>
              <w:right w:val="single" w:color="auto" w:sz="4" w:space="0"/>
            </w:tcBorders>
            <w:shd w:val="pct30" w:color="FFFF00" w:fill="auto"/>
          </w:tcPr>
          <w:p w14:paraId="773108F6">
            <w:pPr>
              <w:pStyle w:val="83"/>
              <w:spacing w:after="0"/>
              <w:ind w:left="99"/>
            </w:pPr>
            <w:r>
              <w:t xml:space="preserve">TS/TR ... CR ... </w:t>
            </w:r>
          </w:p>
        </w:tc>
      </w:tr>
      <w:tr w14:paraId="0D5C3A9E">
        <w:tblPrEx>
          <w:tblCellMar>
            <w:top w:w="0" w:type="dxa"/>
            <w:left w:w="42" w:type="dxa"/>
            <w:bottom w:w="0" w:type="dxa"/>
            <w:right w:w="42" w:type="dxa"/>
          </w:tblCellMar>
        </w:tblPrEx>
        <w:tc>
          <w:tcPr>
            <w:tcW w:w="2694" w:type="dxa"/>
            <w:gridSpan w:val="2"/>
            <w:tcBorders>
              <w:left w:val="single" w:color="auto" w:sz="4" w:space="0"/>
            </w:tcBorders>
          </w:tcPr>
          <w:p w14:paraId="7CFF240E">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51851F5">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C0DB4A">
            <w:pPr>
              <w:pStyle w:val="83"/>
              <w:spacing w:after="0"/>
              <w:jc w:val="center"/>
              <w:rPr>
                <w:b/>
                <w:caps/>
                <w:lang w:val="en-US"/>
              </w:rPr>
            </w:pPr>
            <w:r>
              <w:rPr>
                <w:b/>
                <w:caps/>
                <w:lang w:val="en-US"/>
              </w:rPr>
              <w:t>X</w:t>
            </w:r>
          </w:p>
        </w:tc>
        <w:tc>
          <w:tcPr>
            <w:tcW w:w="2977" w:type="dxa"/>
            <w:gridSpan w:val="4"/>
          </w:tcPr>
          <w:p w14:paraId="1D2F3EF4">
            <w:pPr>
              <w:pStyle w:val="83"/>
              <w:spacing w:after="0"/>
            </w:pPr>
            <w:r>
              <w:t xml:space="preserve"> O&amp;M Specifications</w:t>
            </w:r>
          </w:p>
        </w:tc>
        <w:tc>
          <w:tcPr>
            <w:tcW w:w="3401" w:type="dxa"/>
            <w:gridSpan w:val="3"/>
            <w:tcBorders>
              <w:right w:val="single" w:color="auto" w:sz="4" w:space="0"/>
            </w:tcBorders>
            <w:shd w:val="pct30" w:color="FFFF00" w:fill="auto"/>
          </w:tcPr>
          <w:p w14:paraId="2B03BAC7">
            <w:pPr>
              <w:pStyle w:val="83"/>
              <w:spacing w:after="0"/>
              <w:ind w:left="99"/>
            </w:pPr>
            <w:r>
              <w:t xml:space="preserve">TS/TR ... CR ... </w:t>
            </w:r>
          </w:p>
        </w:tc>
      </w:tr>
      <w:tr w14:paraId="0B4AB2B2">
        <w:tblPrEx>
          <w:tblCellMar>
            <w:top w:w="0" w:type="dxa"/>
            <w:left w:w="42" w:type="dxa"/>
            <w:bottom w:w="0" w:type="dxa"/>
            <w:right w:w="42" w:type="dxa"/>
          </w:tblCellMar>
        </w:tblPrEx>
        <w:tc>
          <w:tcPr>
            <w:tcW w:w="2694" w:type="dxa"/>
            <w:gridSpan w:val="2"/>
            <w:tcBorders>
              <w:left w:val="single" w:color="auto" w:sz="4" w:space="0"/>
            </w:tcBorders>
          </w:tcPr>
          <w:p w14:paraId="44B0209B">
            <w:pPr>
              <w:pStyle w:val="83"/>
              <w:spacing w:after="0"/>
              <w:rPr>
                <w:b/>
                <w:i/>
              </w:rPr>
            </w:pPr>
          </w:p>
        </w:tc>
        <w:tc>
          <w:tcPr>
            <w:tcW w:w="6946" w:type="dxa"/>
            <w:gridSpan w:val="9"/>
            <w:tcBorders>
              <w:right w:val="single" w:color="auto" w:sz="4" w:space="0"/>
            </w:tcBorders>
          </w:tcPr>
          <w:p w14:paraId="1E82F869">
            <w:pPr>
              <w:pStyle w:val="83"/>
              <w:spacing w:after="0"/>
            </w:pPr>
          </w:p>
        </w:tc>
      </w:tr>
      <w:tr w14:paraId="7024EF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529352D">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01DA3D0">
            <w:pPr>
              <w:pStyle w:val="83"/>
              <w:spacing w:after="0"/>
              <w:ind w:left="100"/>
              <w:rPr>
                <w:rFonts w:hint="default" w:eastAsia="宋体"/>
                <w:lang w:val="en-US" w:eastAsia="zh-CN"/>
              </w:rPr>
            </w:pPr>
            <w:r>
              <w:rPr>
                <w:rFonts w:hint="default" w:eastAsia="宋体"/>
                <w:highlight w:val="none"/>
                <w:lang w:val="en-US" w:eastAsia="zh-CN"/>
              </w:rPr>
              <w:t>Align with RAN4 spec TS 36.10</w:t>
            </w:r>
            <w:r>
              <w:rPr>
                <w:rFonts w:hint="eastAsia" w:eastAsia="宋体"/>
                <w:highlight w:val="none"/>
                <w:lang w:val="en-US" w:eastAsia="zh-CN"/>
              </w:rPr>
              <w:t>2</w:t>
            </w:r>
            <w:r>
              <w:rPr>
                <w:rFonts w:hint="default" w:eastAsia="宋体"/>
                <w:highlight w:val="none"/>
                <w:lang w:val="en-US" w:eastAsia="zh-CN"/>
              </w:rPr>
              <w:t xml:space="preserve"> i</w:t>
            </w:r>
            <w:r>
              <w:rPr>
                <w:rFonts w:hint="eastAsia" w:eastAsia="宋体"/>
                <w:highlight w:val="none"/>
                <w:lang w:val="en-US" w:eastAsia="zh-CN"/>
              </w:rPr>
              <w:t>8</w:t>
            </w:r>
            <w:r>
              <w:rPr>
                <w:rFonts w:hint="default" w:eastAsia="宋体"/>
                <w:highlight w:val="none"/>
                <w:lang w:val="en-US" w:eastAsia="zh-CN"/>
              </w:rPr>
              <w:t>0 version</w:t>
            </w:r>
          </w:p>
        </w:tc>
      </w:tr>
      <w:tr w14:paraId="390A63C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73E0952">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A1FF0BA">
            <w:pPr>
              <w:pStyle w:val="83"/>
              <w:spacing w:after="0"/>
              <w:ind w:left="100"/>
              <w:rPr>
                <w:sz w:val="8"/>
                <w:szCs w:val="8"/>
              </w:rPr>
            </w:pPr>
          </w:p>
        </w:tc>
      </w:tr>
      <w:tr w14:paraId="1F70E83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0228A3A">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20C1462">
            <w:pPr>
              <w:pStyle w:val="83"/>
              <w:numPr>
                <w:ilvl w:val="0"/>
                <w:numId w:val="0"/>
              </w:numPr>
              <w:spacing w:after="0"/>
              <w:rPr>
                <w:rFonts w:hint="default" w:eastAsia="宋体"/>
                <w:lang w:val="en-US" w:eastAsia="zh-CN"/>
              </w:rPr>
            </w:pPr>
            <w:r>
              <w:rPr>
                <w:rFonts w:hint="eastAsia" w:eastAsia="宋体"/>
                <w:highlight w:val="yellow"/>
                <w:lang w:val="en-US" w:eastAsia="zh-CN"/>
              </w:rPr>
              <w:t xml:space="preserve">R1: Undo the changes to cl </w:t>
            </w:r>
            <w:r>
              <w:rPr>
                <w:highlight w:val="yellow"/>
              </w:rPr>
              <w:t>8.1.2.2</w:t>
            </w:r>
            <w:r>
              <w:rPr>
                <w:rFonts w:hint="eastAsia" w:eastAsia="宋体"/>
                <w:highlight w:val="yellow"/>
                <w:lang w:val="en-US" w:eastAsia="zh-CN"/>
              </w:rPr>
              <w:t xml:space="preserve"> to solve the overlapping with CAICT (R5-252063) and MediaTek (R5-252262); Add Echostar as co-source company to solve the overlapping with Echostar (R5-252410</w:t>
            </w:r>
            <w:bookmarkStart w:id="186" w:name="_GoBack"/>
            <w:bookmarkEnd w:id="186"/>
            <w:r>
              <w:rPr>
                <w:rFonts w:hint="eastAsia" w:eastAsia="宋体"/>
                <w:highlight w:val="yellow"/>
                <w:lang w:val="en-US" w:eastAsia="zh-CN"/>
              </w:rPr>
              <w:t>).</w:t>
            </w:r>
          </w:p>
        </w:tc>
      </w:tr>
    </w:tbl>
    <w:p w14:paraId="343B9B9B">
      <w:pPr>
        <w:pStyle w:val="83"/>
        <w:spacing w:after="0"/>
        <w:rPr>
          <w:sz w:val="8"/>
          <w:szCs w:val="8"/>
        </w:rPr>
      </w:pPr>
    </w:p>
    <w:p w14:paraId="496CBBF5">
      <w:pPr>
        <w:sectPr>
          <w:headerReference r:id="rId4" w:type="even"/>
          <w:footnotePr>
            <w:numRestart w:val="eachSect"/>
          </w:footnotePr>
          <w:pgSz w:w="11907" w:h="16840"/>
          <w:pgMar w:top="1418" w:right="1134" w:bottom="1134" w:left="1134" w:header="680" w:footer="567" w:gutter="0"/>
          <w:cols w:space="720" w:num="1"/>
        </w:sectPr>
      </w:pPr>
    </w:p>
    <w:p w14:paraId="19781EE5">
      <w:pPr>
        <w:pStyle w:val="85"/>
        <w:rPr>
          <w:rFonts w:eastAsia="??"/>
          <w:color w:val="FF0000"/>
          <w:sz w:val="32"/>
        </w:rPr>
      </w:pPr>
      <w:bookmarkStart w:id="3" w:name="_Toc524968914"/>
      <w:bookmarkStart w:id="4" w:name="_Toc524968908"/>
      <w:bookmarkStart w:id="5" w:name="OLE_LINK3"/>
      <w:r>
        <w:rPr>
          <w:rFonts w:eastAsia="??"/>
          <w:color w:val="FF0000"/>
          <w:sz w:val="32"/>
        </w:rPr>
        <w:t>&lt;&lt;&lt; START OF CHANGES &gt;&gt;&gt;</w:t>
      </w:r>
      <w:bookmarkEnd w:id="3"/>
      <w:bookmarkEnd w:id="4"/>
    </w:p>
    <w:bookmarkEnd w:id="5"/>
    <w:p w14:paraId="12971FF0">
      <w:pPr>
        <w:pStyle w:val="2"/>
      </w:pPr>
      <w:bookmarkStart w:id="6" w:name="_Toc2753"/>
      <w:bookmarkStart w:id="7" w:name="_Toc14828"/>
      <w:bookmarkStart w:id="8" w:name="_Toc3272"/>
      <w:bookmarkStart w:id="9" w:name="_Toc10199"/>
      <w:bookmarkStart w:id="10" w:name="_Toc29199"/>
      <w:bookmarkStart w:id="11" w:name="_Toc27497"/>
      <w:bookmarkStart w:id="12" w:name="_Toc194571762"/>
      <w:bookmarkStart w:id="13" w:name="_Toc120570008"/>
      <w:bookmarkStart w:id="14" w:name="_Toc9802"/>
      <w:bookmarkStart w:id="15" w:name="_Toc19410"/>
      <w:bookmarkStart w:id="16" w:name="_Toc6430"/>
      <w:bookmarkStart w:id="17" w:name="_Toc30935"/>
      <w:bookmarkStart w:id="18" w:name="_Toc121162800"/>
      <w:bookmarkStart w:id="19" w:name="_Toc194571776"/>
      <w:bookmarkStart w:id="20" w:name="_Toc18073"/>
      <w:bookmarkStart w:id="21" w:name="_Toc111062013"/>
      <w:bookmarkStart w:id="22" w:name="_Toc5326"/>
      <w:bookmarkStart w:id="23" w:name="_Toc7653"/>
      <w:bookmarkStart w:id="24" w:name="_Toc194571784"/>
      <w:bookmarkStart w:id="25" w:name="_Toc111062022"/>
      <w:bookmarkStart w:id="26" w:name="_Toc15549"/>
      <w:bookmarkStart w:id="27" w:name="_Toc23634"/>
      <w:bookmarkStart w:id="28" w:name="_Toc28473"/>
      <w:bookmarkStart w:id="29" w:name="_Toc368026210"/>
      <w:bookmarkStart w:id="30" w:name="_Toc27189"/>
      <w:bookmarkStart w:id="31" w:name="_Toc120570016"/>
      <w:bookmarkStart w:id="32" w:name="_Toc22322"/>
      <w:bookmarkStart w:id="33" w:name="_Toc121162808"/>
      <w:bookmarkStart w:id="34" w:name="_Toc13300"/>
      <w:bookmarkStart w:id="35" w:name="_Toc40209437"/>
      <w:bookmarkStart w:id="36" w:name="_Toc137386451"/>
      <w:bookmarkStart w:id="37" w:name="_Toc76572070"/>
      <w:bookmarkStart w:id="38" w:name="_Toc106737267"/>
      <w:bookmarkStart w:id="39" w:name="_Toc131734990"/>
      <w:bookmarkStart w:id="40" w:name="_Toc124256677"/>
      <w:bookmarkStart w:id="41" w:name="_Toc83742047"/>
      <w:bookmarkStart w:id="42" w:name="_Toc53176595"/>
      <w:bookmarkStart w:id="43" w:name="_Toc91440537"/>
      <w:bookmarkStart w:id="44" w:name="_Toc21783"/>
      <w:bookmarkStart w:id="45" w:name="_Toc61120871"/>
      <w:bookmarkStart w:id="46" w:name="_Toc115267787"/>
      <w:bookmarkStart w:id="47" w:name="_Toc76298058"/>
      <w:bookmarkStart w:id="48" w:name="_Toc137401335"/>
      <w:bookmarkStart w:id="49" w:name="_Toc194571909"/>
      <w:bookmarkStart w:id="50" w:name="_Toc107234624"/>
      <w:bookmarkStart w:id="51" w:name="_Toc76652775"/>
      <w:bookmarkStart w:id="52" w:name="_Toc37083733"/>
      <w:bookmarkStart w:id="53" w:name="_Toc107233034"/>
      <w:bookmarkStart w:id="54" w:name="_Toc29808271"/>
      <w:bookmarkStart w:id="55" w:name="_Toc40209779"/>
      <w:bookmarkStart w:id="56" w:name="_Toc76651937"/>
      <w:bookmarkStart w:id="57" w:name="_Toc107419593"/>
      <w:bookmarkStart w:id="58" w:name="_Toc12596"/>
      <w:bookmarkStart w:id="59" w:name="_Toc37068190"/>
      <w:bookmarkStart w:id="60" w:name="_Toc21338163"/>
      <w:bookmarkStart w:id="61" w:name="_Toc15994"/>
      <w:bookmarkStart w:id="62" w:name="_Toc67918015"/>
      <w:bookmarkStart w:id="63" w:name="_Toc114565699"/>
      <w:bookmarkStart w:id="64" w:name="_Toc98849322"/>
      <w:bookmarkStart w:id="65" w:name="_Toc37084075"/>
      <w:bookmarkStart w:id="66" w:name="_Toc45892738"/>
      <w:bookmarkStart w:id="67" w:name="_Toc106543172"/>
      <w:bookmarkStart w:id="68" w:name="_Toc107476886"/>
      <w:bookmarkStart w:id="69" w:name="_Toc123057984"/>
      <w:r>
        <w:t>2</w:t>
      </w:r>
      <w:r>
        <w:tab/>
      </w:r>
      <w:r>
        <w:t>References</w:t>
      </w:r>
      <w:bookmarkEnd w:id="6"/>
      <w:bookmarkEnd w:id="7"/>
      <w:bookmarkEnd w:id="8"/>
      <w:bookmarkEnd w:id="9"/>
      <w:bookmarkEnd w:id="10"/>
      <w:bookmarkEnd w:id="11"/>
      <w:bookmarkEnd w:id="12"/>
    </w:p>
    <w:p w14:paraId="4AB0E2E0">
      <w:r>
        <w:t>The following documents contain provisions which, through reference in this text, constitute provisions of the present document.</w:t>
      </w:r>
    </w:p>
    <w:p w14:paraId="7EFC770D">
      <w:pPr>
        <w:pStyle w:val="77"/>
      </w:pPr>
      <w:r>
        <w:t>-</w:t>
      </w:r>
      <w:r>
        <w:tab/>
      </w:r>
      <w:r>
        <w:t>References are either specific (identified by date of publication, edition number, version number, etc.) or non</w:t>
      </w:r>
      <w:r>
        <w:noBreakHyphen/>
      </w:r>
      <w:r>
        <w:t>specific.</w:t>
      </w:r>
    </w:p>
    <w:p w14:paraId="36701919">
      <w:pPr>
        <w:pStyle w:val="77"/>
      </w:pPr>
      <w:r>
        <w:t>-</w:t>
      </w:r>
      <w:r>
        <w:tab/>
      </w:r>
      <w:r>
        <w:t>For a specific reference, subsequent revisions do not apply.</w:t>
      </w:r>
    </w:p>
    <w:p w14:paraId="057F92CD">
      <w:pPr>
        <w:pStyle w:val="77"/>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A2F773A">
      <w:pPr>
        <w:pStyle w:val="59"/>
      </w:pPr>
      <w:bookmarkStart w:id="70" w:name="_Hlk97557962"/>
      <w:r>
        <w:t>[1]</w:t>
      </w:r>
      <w:r>
        <w:tab/>
      </w:r>
      <w:r>
        <w:t>3GPP TR 21.905: "Vocabulary for 3GPP Specifications".</w:t>
      </w:r>
      <w:bookmarkEnd w:id="70"/>
    </w:p>
    <w:p w14:paraId="68F74837">
      <w:pPr>
        <w:pStyle w:val="59"/>
        <w:rPr>
          <w:rFonts w:eastAsia="等线"/>
        </w:rPr>
      </w:pPr>
      <w:r>
        <w:t>[2]</w:t>
      </w:r>
      <w:r>
        <w:tab/>
      </w:r>
      <w:r>
        <w:t>3GPP TS 36.108: "</w:t>
      </w:r>
      <w:r>
        <w:rPr>
          <w:color w:val="000000"/>
        </w:rPr>
        <w:t xml:space="preserve">Evolved Universal Terrestrial Radio Access (E-UTRA); </w:t>
      </w:r>
      <w:r>
        <w:t>Satellite Access Node (SAN) radio transmission and reception".</w:t>
      </w:r>
    </w:p>
    <w:p w14:paraId="712697CE">
      <w:pPr>
        <w:pStyle w:val="59"/>
      </w:pPr>
      <w:r>
        <w:rPr>
          <w:rFonts w:eastAsia="等线"/>
        </w:rPr>
        <w:t>[3]</w:t>
      </w:r>
      <w:r>
        <w:rPr>
          <w:rFonts w:eastAsia="等线"/>
        </w:rPr>
        <w:tab/>
      </w:r>
      <w:r>
        <w:t>3GPP TS 36.211: "</w:t>
      </w:r>
      <w:bookmarkStart w:id="71" w:name="OLE_LINK44"/>
      <w:bookmarkStart w:id="72" w:name="OLE_LINK45"/>
      <w:r>
        <w:rPr>
          <w:color w:val="000000"/>
        </w:rPr>
        <w:t xml:space="preserve">Evolved Universal Terrestrial Radio Access (E-UTRA); </w:t>
      </w:r>
      <w:r>
        <w:t>Physical Channels and Modulation</w:t>
      </w:r>
      <w:bookmarkEnd w:id="71"/>
      <w:bookmarkEnd w:id="72"/>
      <w:r>
        <w:t>".</w:t>
      </w:r>
    </w:p>
    <w:p w14:paraId="709AB4CA">
      <w:pPr>
        <w:pStyle w:val="59"/>
        <w:rPr>
          <w:rFonts w:eastAsia="等线"/>
        </w:rPr>
      </w:pPr>
      <w:r>
        <w:rPr>
          <w:rFonts w:eastAsia="等线"/>
        </w:rPr>
        <w:t>[4]</w:t>
      </w:r>
      <w:r>
        <w:rPr>
          <w:rFonts w:eastAsia="等线"/>
        </w:rPr>
        <w:tab/>
      </w:r>
      <w:r>
        <w:t>ITU-R Recommendation M.1545: "Measurement uncertainty as it applies to test limits for the terrestrial component of International Mobile Telecommunications-2000".</w:t>
      </w:r>
    </w:p>
    <w:p w14:paraId="7A16AC6E">
      <w:pPr>
        <w:pStyle w:val="59"/>
      </w:pPr>
      <w:r>
        <w:rPr>
          <w:rFonts w:eastAsia="等线"/>
        </w:rPr>
        <w:t>[5]</w:t>
      </w:r>
      <w:r>
        <w:rPr>
          <w:rFonts w:eastAsia="等线"/>
        </w:rPr>
        <w:tab/>
      </w:r>
      <w:r>
        <w:t>3GPP TS 36.307: "</w:t>
      </w:r>
      <w:r>
        <w:rPr>
          <w:color w:val="000000"/>
        </w:rPr>
        <w:t xml:space="preserve">Evolved Universal Terrestrial Radio Access (E-UTRA); </w:t>
      </w:r>
      <w:r>
        <w:t>Requirements on User Equipments (UEs) supporting a release-independent frequency band".</w:t>
      </w:r>
    </w:p>
    <w:p w14:paraId="52E1EC53">
      <w:pPr>
        <w:pStyle w:val="59"/>
        <w:rPr>
          <w:rFonts w:eastAsia="等线"/>
        </w:rPr>
      </w:pPr>
      <w:r>
        <w:t>[6]</w:t>
      </w:r>
      <w:r>
        <w:tab/>
      </w:r>
      <w:r>
        <w:t>3GPP TS 36.331: "</w:t>
      </w:r>
      <w:r>
        <w:rPr>
          <w:color w:val="000000"/>
        </w:rPr>
        <w:t>Evolved Universal Terrestrial Radio Access (E-UTRA); Radio Resource Control (RRC); Protocol specification</w:t>
      </w:r>
      <w:r>
        <w:t>".</w:t>
      </w:r>
    </w:p>
    <w:p w14:paraId="40340970">
      <w:pPr>
        <w:pStyle w:val="59"/>
        <w:rPr>
          <w:rFonts w:eastAsia="等线"/>
        </w:rPr>
      </w:pPr>
      <w:r>
        <w:rPr>
          <w:rFonts w:eastAsia="等线"/>
        </w:rPr>
        <w:t>[7]</w:t>
      </w:r>
      <w:r>
        <w:rPr>
          <w:rFonts w:eastAsia="等线"/>
        </w:rPr>
        <w:tab/>
      </w:r>
      <w:r>
        <w:t>3GPP TS 36.101: "Evolved Universal Terrestrial Radio Access (E-UTRA); User Equipment (UE) radio transmission and reception".</w:t>
      </w:r>
    </w:p>
    <w:p w14:paraId="275AED00">
      <w:pPr>
        <w:pStyle w:val="59"/>
        <w:rPr>
          <w:rFonts w:eastAsia="等线"/>
        </w:rPr>
      </w:pPr>
      <w:r>
        <w:rPr>
          <w:rFonts w:eastAsia="等线"/>
        </w:rPr>
        <w:t>[8]</w:t>
      </w:r>
      <w:r>
        <w:rPr>
          <w:rFonts w:eastAsia="等线"/>
        </w:rPr>
        <w:tab/>
      </w:r>
      <w:r>
        <w:t>3GPP TS 36.300: "Evolved Universal Terrestrial Radio Access (E-UTRA) and Evolved Universal Terrestrial Radio Access Network (E-UTRAN); Overall description; Stage 2".</w:t>
      </w:r>
    </w:p>
    <w:p w14:paraId="6642CE46">
      <w:pPr>
        <w:pStyle w:val="59"/>
        <w:rPr>
          <w:rFonts w:eastAsia="等线"/>
        </w:rPr>
      </w:pPr>
      <w:r>
        <w:rPr>
          <w:rFonts w:eastAsia="等线"/>
        </w:rPr>
        <w:t>[9]</w:t>
      </w:r>
      <w:r>
        <w:rPr>
          <w:rFonts w:eastAsia="等线"/>
        </w:rPr>
        <w:tab/>
      </w:r>
      <w:r>
        <w:t>ITU-R Recommendation SM.329</w:t>
      </w:r>
      <w:del w:id="0" w:author="CMCC-Luyang Zhao" w:date="2025-05-07T15:41:26Z">
        <w:r>
          <w:rPr/>
          <w:delText>-10</w:delText>
        </w:r>
      </w:del>
      <w:r>
        <w:t>, "Unwanted emissions in the spurious domain".</w:t>
      </w:r>
    </w:p>
    <w:p w14:paraId="2BF032E4">
      <w:pPr>
        <w:pStyle w:val="59"/>
        <w:rPr>
          <w:color w:val="000000"/>
          <w:shd w:val="clear" w:color="auto" w:fill="FFFFFF"/>
        </w:rPr>
      </w:pPr>
      <w:r>
        <w:rPr>
          <w:rFonts w:eastAsia="等线"/>
        </w:rPr>
        <w:t>[10]</w:t>
      </w:r>
      <w:r>
        <w:rPr>
          <w:rFonts w:eastAsia="等线"/>
        </w:rPr>
        <w:tab/>
      </w:r>
      <w:r>
        <w:t>[</w:t>
      </w:r>
      <w:r>
        <w:rPr>
          <w:color w:val="000000"/>
          <w:shd w:val="clear" w:color="auto" w:fill="FFFFFF"/>
        </w:rPr>
        <w:t>ANSI C63.26-2015, American National standard for Compliance Testing of Transmitters Used in Licensed Radio Services, Accredited Standards Committee C63 – Electromagnetic compatibility].</w:t>
      </w:r>
    </w:p>
    <w:p w14:paraId="38DD180A">
      <w:pPr>
        <w:pStyle w:val="59"/>
      </w:pPr>
      <w:r>
        <w:rPr>
          <w:color w:val="000000"/>
          <w:shd w:val="clear" w:color="auto" w:fill="FFFFFF"/>
        </w:rPr>
        <w:t>[11]</w:t>
      </w:r>
      <w:r>
        <w:rPr>
          <w:color w:val="000000"/>
          <w:shd w:val="clear" w:color="auto" w:fill="FFFFFF"/>
        </w:rPr>
        <w:tab/>
      </w:r>
      <w:r>
        <w:t>3GPP TS 36.102: "Evolved Universal Terrestrial Radio Access (E-UTRA); User Equipment (UE) radio transmission and reception for satellite access".</w:t>
      </w:r>
    </w:p>
    <w:p w14:paraId="14F00EDA">
      <w:pPr>
        <w:pStyle w:val="59"/>
      </w:pPr>
      <w:r>
        <w:rPr>
          <w:color w:val="000000"/>
          <w:shd w:val="clear" w:color="auto" w:fill="FFFFFF"/>
        </w:rPr>
        <w:t>[12]</w:t>
      </w:r>
      <w:r>
        <w:rPr>
          <w:color w:val="000000"/>
          <w:shd w:val="clear" w:color="auto" w:fill="FFFFFF"/>
        </w:rPr>
        <w:tab/>
      </w:r>
      <w:r>
        <w:t>3GPP TS 36.508: "Common test environments for User Equipment (UE)".</w:t>
      </w:r>
    </w:p>
    <w:p w14:paraId="58768527">
      <w:pPr>
        <w:pStyle w:val="59"/>
      </w:pPr>
      <w:r>
        <w:t>[13]</w:t>
      </w:r>
      <w:r>
        <w:tab/>
      </w:r>
      <w:r>
        <w:t>3GPP TS 36.509: "Evolved Universal Terrestrial Radio Access (E-UTRA) and Evolved Packet Core (EPC); Special conformance testing functions for User Equipment (UE)".</w:t>
      </w:r>
    </w:p>
    <w:p w14:paraId="55DF1FB4">
      <w:pPr>
        <w:pStyle w:val="59"/>
      </w:pPr>
      <w:r>
        <w:t>[14]</w:t>
      </w:r>
      <w:r>
        <w:tab/>
      </w:r>
      <w:r>
        <w:t>3GPP TS 36.521-1: "Evolved Universal Terrestrial Radio Access (E-UTRA); User Equipment (UE) conformance specification; Radio transmission and reception; Part 1: Conformance testing".</w:t>
      </w:r>
    </w:p>
    <w:p w14:paraId="6BD023DD">
      <w:pPr>
        <w:pStyle w:val="59"/>
      </w:pPr>
      <w:r>
        <w:t>[15]</w:t>
      </w:r>
      <w:r>
        <w:tab/>
      </w:r>
      <w:r>
        <w:t>3GPP TS 36.521-2: "Evolved Universal Terrestrial Radio Access (E-UTRA); User Equipment (UE) conformance specification; Radio transmission and reception; Part 2: Implementation Conformance Statement (ICS)".</w:t>
      </w:r>
    </w:p>
    <w:p w14:paraId="2AFCCF92">
      <w:pPr>
        <w:pStyle w:val="59"/>
      </w:pPr>
      <w:r>
        <w:t>[16]</w:t>
      </w:r>
      <w:r>
        <w:tab/>
      </w:r>
      <w:r>
        <w:t>3GPP TS 36.521-3: "Evolved Universal Terrestrial Radio Access (E-UTRA); User Equipment (UE) conformance specification; Radio transmission and reception; Part 3: Radio Resource Management (RRM) conformance testing".</w:t>
      </w:r>
    </w:p>
    <w:p w14:paraId="3FB3D84D">
      <w:pPr>
        <w:pStyle w:val="59"/>
      </w:pPr>
      <w:r>
        <w:t>[17]</w:t>
      </w:r>
      <w:r>
        <w:tab/>
      </w:r>
      <w:r>
        <w:rPr>
          <w:lang w:eastAsia="zh-CN"/>
        </w:rPr>
        <w:t xml:space="preserve">3GPP TR 36.904: </w:t>
      </w:r>
      <w:r>
        <w:t>"</w:t>
      </w:r>
      <w:r>
        <w:rPr>
          <w:lang w:eastAsia="zh-CN"/>
        </w:rPr>
        <w:t>Evolved Universal Terrestrial Radio Access (E-UTRA) and Evolved Universal Terrestrial Radio Access Network (E-UTRAN); Derivation of test tolerances for User Equipment (UE) radio reception conformance tests</w:t>
      </w:r>
      <w:r>
        <w:t>"</w:t>
      </w:r>
      <w:r>
        <w:rPr>
          <w:lang w:eastAsia="zh-CN"/>
        </w:rPr>
        <w:t>.</w:t>
      </w:r>
    </w:p>
    <w:p w14:paraId="717DC7A7">
      <w:pPr>
        <w:pStyle w:val="59"/>
        <w:rPr>
          <w:lang w:eastAsia="zh-CN"/>
        </w:rPr>
      </w:pPr>
      <w:r>
        <w:t>[18]</w:t>
      </w:r>
      <w:r>
        <w:tab/>
      </w:r>
      <w:r>
        <w:rPr>
          <w:lang w:eastAsia="zh-CN"/>
        </w:rPr>
        <w:t xml:space="preserve">3GPP TR 36.905: </w:t>
      </w:r>
      <w:r>
        <w:t>"</w:t>
      </w:r>
      <w:r>
        <w:rPr>
          <w:lang w:eastAsia="zh-CN"/>
        </w:rPr>
        <w:t>Evolved Universal Terrestrial Radio Access (E-UTRA) and Evolved Universal Terrestrial Radio Access Network (E-UTRAN); Derivation of test points for radio transmission and reception conformance test cases</w:t>
      </w:r>
      <w:r>
        <w:t>"</w:t>
      </w:r>
      <w:r>
        <w:rPr>
          <w:lang w:eastAsia="zh-CN"/>
        </w:rPr>
        <w:t>.</w:t>
      </w:r>
    </w:p>
    <w:p w14:paraId="01614F07">
      <w:pPr>
        <w:pStyle w:val="59"/>
      </w:pPr>
      <w:r>
        <w:rPr>
          <w:lang w:eastAsia="zh-CN"/>
        </w:rPr>
        <w:t>[19]</w:t>
      </w:r>
      <w:r>
        <w:rPr>
          <w:rFonts w:eastAsia="等线"/>
        </w:rPr>
        <w:tab/>
      </w:r>
      <w:r>
        <w:t>3GPP TS 36.21</w:t>
      </w:r>
      <w:r>
        <w:rPr>
          <w:rFonts w:eastAsia="宋体"/>
          <w:lang w:eastAsia="zh-CN"/>
        </w:rPr>
        <w:t>2</w:t>
      </w:r>
      <w:r>
        <w:t>: "</w:t>
      </w:r>
      <w:r>
        <w:rPr>
          <w:color w:val="000000"/>
        </w:rPr>
        <w:t xml:space="preserve">Evolved Universal Terrestrial Radio Access (E-UTRA); </w:t>
      </w:r>
      <w:r>
        <w:t>Multiplexing and channel coding".</w:t>
      </w:r>
    </w:p>
    <w:p w14:paraId="0D216EAD">
      <w:pPr>
        <w:pStyle w:val="59"/>
      </w:pPr>
      <w:r>
        <w:t>[</w:t>
      </w:r>
      <w:r>
        <w:rPr>
          <w:rFonts w:eastAsia="宋体"/>
          <w:lang w:eastAsia="zh-CN"/>
        </w:rPr>
        <w:t>2</w:t>
      </w:r>
      <w:r>
        <w:t>0]</w:t>
      </w:r>
      <w:r>
        <w:tab/>
      </w:r>
      <w:r>
        <w:t>3GPP TS 36.213: "</w:t>
      </w:r>
      <w:r>
        <w:rPr>
          <w:color w:val="000000"/>
        </w:rPr>
        <w:t xml:space="preserve">Evolved Universal Terrestrial Radio Access (E-UTRA); </w:t>
      </w:r>
      <w:r>
        <w:t>Physical layer procedures".</w:t>
      </w:r>
    </w:p>
    <w:p w14:paraId="569F9FFD">
      <w:pPr>
        <w:pStyle w:val="59"/>
      </w:pPr>
      <w:r>
        <w:rPr>
          <w:rFonts w:eastAsia="宋体"/>
          <w:lang w:eastAsia="zh-CN"/>
        </w:rPr>
        <w:t>[21]</w:t>
      </w:r>
      <w:r>
        <w:tab/>
      </w:r>
      <w:r>
        <w:rPr>
          <w:lang w:eastAsia="zh-CN"/>
        </w:rPr>
        <w:t>3GPP TR 38.811: "Study on New Radio (NR) to support non-terrestrial networks"</w:t>
      </w:r>
      <w:r>
        <w:t>.</w:t>
      </w:r>
    </w:p>
    <w:p w14:paraId="0905B702">
      <w:pPr>
        <w:pStyle w:val="59"/>
      </w:pPr>
      <w:r>
        <w:t>[22]</w:t>
      </w:r>
      <w:r>
        <w:tab/>
      </w:r>
      <w:r>
        <w:t>[</w:t>
      </w:r>
      <w:r>
        <w:rPr>
          <w:color w:val="000000"/>
          <w:shd w:val="clear" w:color="auto" w:fill="FFFFFF"/>
        </w:rPr>
        <w:t xml:space="preserve">ANSI C63.26-2015, American National standard for Compliance Testing of Transmitters Used in Licensed Radio Services, Accredited Standards Committee C63 – Electromagnetic </w:t>
      </w:r>
      <w:r>
        <w:t>compatibility].</w:t>
      </w:r>
    </w:p>
    <w:p w14:paraId="44C99AA5">
      <w:pPr>
        <w:pStyle w:val="59"/>
        <w:rPr>
          <w:lang w:eastAsia="zh-CN"/>
        </w:rPr>
      </w:pPr>
      <w:ins w:id="1" w:author="CMCC-Luyang Zhao" w:date="2025-05-07T15:59:54Z">
        <w:r>
          <w:rPr/>
          <w:t>[2</w:t>
        </w:r>
      </w:ins>
      <w:ins w:id="2" w:author="CMCC-Luyang Zhao" w:date="2025-05-07T15:59:54Z">
        <w:r>
          <w:rPr>
            <w:rFonts w:hint="default"/>
            <w:lang w:val="en-US"/>
          </w:rPr>
          <w:t>3</w:t>
        </w:r>
      </w:ins>
      <w:ins w:id="3" w:author="CMCC-Luyang Zhao" w:date="2025-05-07T15:59:54Z">
        <w:r>
          <w:rPr/>
          <w:t>]</w:t>
        </w:r>
      </w:ins>
      <w:ins w:id="4" w:author="CMCC-Luyang Zhao" w:date="2025-05-07T15:59:54Z">
        <w:r>
          <w:rPr/>
          <w:tab/>
        </w:r>
      </w:ins>
      <w:ins w:id="5" w:author="CMCC-Luyang Zhao" w:date="2025-05-07T15:59:54Z">
        <w:r>
          <w:rPr>
            <w:rFonts w:eastAsia="等线"/>
            <w:lang w:eastAsia="zh-CN"/>
          </w:rPr>
          <w:t>3GPP TS 38.101-5: "NR; User Equipment (UE) radio transmission and reception; Part 5: Satellite access Radio Frequency (RF) and performance requirements”</w:t>
        </w:r>
      </w:ins>
      <w:ins w:id="6" w:author="CMCC-Luyang Zhao" w:date="2025-05-07T15:59:54Z">
        <w:r>
          <w:rPr/>
          <w:t>.</w:t>
        </w:r>
      </w:ins>
    </w:p>
    <w:p w14:paraId="5B78ED45">
      <w:pPr>
        <w:pStyle w:val="85"/>
        <w:rPr>
          <w:rFonts w:eastAsia="??"/>
          <w:color w:val="FF0000"/>
          <w:sz w:val="32"/>
        </w:rPr>
      </w:pPr>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6CF52FA1">
      <w:pPr>
        <w:pStyle w:val="3"/>
      </w:pPr>
      <w:r>
        <w:t>5.2</w:t>
      </w:r>
      <w:r>
        <w:rPr>
          <w:lang w:eastAsia="zh-CN"/>
        </w:rPr>
        <w:t>B</w:t>
      </w:r>
      <w:r>
        <w:tab/>
      </w:r>
      <w:r>
        <w:t>Operating bands</w:t>
      </w:r>
      <w:r>
        <w:rPr>
          <w:lang w:eastAsia="zh-CN"/>
        </w:rPr>
        <w:t xml:space="preserve"> for </w:t>
      </w:r>
      <w:r>
        <w:t>category NB1 and NB2</w:t>
      </w:r>
      <w:bookmarkEnd w:id="13"/>
      <w:bookmarkEnd w:id="14"/>
      <w:bookmarkEnd w:id="15"/>
      <w:bookmarkEnd w:id="16"/>
      <w:bookmarkEnd w:id="17"/>
      <w:bookmarkEnd w:id="18"/>
      <w:bookmarkEnd w:id="19"/>
      <w:bookmarkEnd w:id="20"/>
      <w:bookmarkEnd w:id="21"/>
      <w:bookmarkEnd w:id="22"/>
    </w:p>
    <w:p w14:paraId="15312C0D">
      <w:pPr>
        <w:rPr>
          <w:lang w:eastAsia="zh-CN"/>
        </w:rPr>
      </w:pPr>
      <w:r>
        <w:t>Category NB1 and NB2</w:t>
      </w:r>
      <w:r>
        <w:rPr>
          <w:rFonts w:eastAsia="宋体"/>
          <w:lang w:eastAsia="zh-CN"/>
        </w:rPr>
        <w:t xml:space="preserve"> UE</w:t>
      </w:r>
      <w:r>
        <w:t xml:space="preserve"> </w:t>
      </w:r>
      <w:r>
        <w:rPr>
          <w:rFonts w:eastAsia="Malgun Gothic"/>
        </w:rPr>
        <w:t>are</w:t>
      </w:r>
      <w:r>
        <w:t xml:space="preserve"> designed to operate in the E-UTRA satellite access operating bands defined in Table 5.2-1.</w:t>
      </w:r>
    </w:p>
    <w:p w14:paraId="484C0F95">
      <w:pPr>
        <w:rPr>
          <w:bCs/>
        </w:rPr>
      </w:pPr>
      <w:r>
        <w:t xml:space="preserve">Category NB1 and NB2 </w:t>
      </w:r>
      <w:r>
        <w:rPr>
          <w:lang w:eastAsia="zh-CN"/>
        </w:rPr>
        <w:t>UE</w:t>
      </w:r>
      <w:r>
        <w:t xml:space="preserve"> </w:t>
      </w:r>
      <w:r>
        <w:rPr>
          <w:bCs/>
        </w:rPr>
        <w:t>operate in HD-FDD duplex mode.</w:t>
      </w:r>
    </w:p>
    <w:p w14:paraId="28604C2C">
      <w:pPr>
        <w:rPr>
          <w:ins w:id="7" w:author="CMCC-Luyang Zhao" w:date="2025-05-07T15:35:11Z"/>
          <w:rFonts w:eastAsia="宋体"/>
          <w:bCs/>
        </w:rPr>
      </w:pPr>
      <w:ins w:id="8" w:author="CMCC-Luyang Zhao" w:date="2025-05-07T15:35:11Z">
        <w:r>
          <w:rPr/>
          <w:t>For operation in Band 255, only channels positions which guarantee at least 190 kHz guard band from RF channel edge to the lower limit of the band shall be used.</w:t>
        </w:r>
      </w:ins>
    </w:p>
    <w:p w14:paraId="28FE9F06">
      <w:pPr>
        <w:rPr>
          <w:del w:id="9" w:author="CMCC-Luyang Zhao" w:date="2025-05-07T15:35:22Z"/>
          <w:b/>
          <w:bCs/>
        </w:rPr>
      </w:pPr>
      <w:del w:id="10" w:author="CMCC-Luyang Zhao" w:date="2025-05-07T15:35:22Z">
        <w:r>
          <w:rPr/>
          <w:delText>For operation in Band 254 in USA and Canada when NS_03N is signalled, only channels positions which guarantee at least 90 kHz guard band from RF channel edge to the lower and upper limit of the band shall be used.</w:delText>
        </w:r>
      </w:del>
    </w:p>
    <w:p w14:paraId="6BB3527F">
      <w:r>
        <w:t>For operation in Band 255 in USA and Canada when NS_02N is signalled, only channels positions which guarantee at least 90 kHz guard band from RF channel edge to the lower and upper limit of the band shall be used.</w:t>
      </w:r>
    </w:p>
    <w:p w14:paraId="7220D461">
      <w:pPr>
        <w:rPr>
          <w:ins w:id="11" w:author="CMCC-Luyang Zhao" w:date="2025-05-07T15:35:24Z"/>
          <w:b/>
          <w:bCs/>
        </w:rPr>
      </w:pPr>
      <w:ins w:id="12" w:author="CMCC-Luyang Zhao" w:date="2025-05-07T15:35:24Z">
        <w:r>
          <w:rPr/>
          <w:t>For operation in Band 254 in USA and Canada when NS_03N is signalled, only channels positions which guarantee at least 90 kHz guard band from RF channel edge to the lower and upper limit of the band shall be used.</w:t>
        </w:r>
      </w:ins>
    </w:p>
    <w:p w14:paraId="72D16660">
      <w:pPr>
        <w:pStyle w:val="85"/>
        <w:rPr>
          <w:rFonts w:eastAsia="??"/>
          <w:color w:val="FF0000"/>
          <w:sz w:val="32"/>
        </w:rPr>
      </w:pPr>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43C2DC10">
      <w:pPr>
        <w:pStyle w:val="4"/>
      </w:pPr>
      <w:r>
        <w:t>5.4A.3</w:t>
      </w:r>
      <w:r>
        <w:tab/>
      </w:r>
      <w:r>
        <w:t>TX–RX frequency separation</w:t>
      </w:r>
      <w:bookmarkEnd w:id="23"/>
      <w:bookmarkEnd w:id="24"/>
      <w:bookmarkEnd w:id="25"/>
      <w:bookmarkEnd w:id="26"/>
      <w:bookmarkEnd w:id="27"/>
      <w:bookmarkEnd w:id="28"/>
      <w:bookmarkEnd w:id="29"/>
      <w:bookmarkEnd w:id="30"/>
      <w:bookmarkEnd w:id="31"/>
      <w:bookmarkEnd w:id="32"/>
      <w:bookmarkEnd w:id="33"/>
    </w:p>
    <w:p w14:paraId="1C3F76A5">
      <w:pPr>
        <w:pPrChange w:id="13" w:author="CMCC-Luyang Zhao" w:date="2025-05-07T15:21:01Z">
          <w:pPr>
            <w:pStyle w:val="77"/>
          </w:pPr>
        </w:pPrChange>
      </w:pPr>
      <w:del w:id="14" w:author="CMCC-Luyang Zhao" w:date="2025-05-07T15:20:49Z">
        <w:r>
          <w:rPr/>
          <w:delText>a)</w:delText>
        </w:r>
      </w:del>
      <w:del w:id="15" w:author="CMCC-Luyang Zhao" w:date="2025-05-07T15:20:49Z">
        <w:r>
          <w:rPr/>
          <w:tab/>
        </w:r>
      </w:del>
      <w:r>
        <w:t>The default E-UTRA TX channel (carrier centre frequency) to RX channel (carrier centre frequency) separation is specified in Table 5.4A.3-1 for the TX and RX channel bandwidth defined in Table 5.3A.1-1.</w:t>
      </w:r>
    </w:p>
    <w:p w14:paraId="595F23AB">
      <w:pPr>
        <w:pStyle w:val="57"/>
      </w:pPr>
      <w:r>
        <w:t>Table 5.4A.3-1: Default UE TX-RX frequency separation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14:paraId="3A8F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14:paraId="31E842DF">
            <w:pPr>
              <w:pStyle w:val="53"/>
              <w:rPr>
                <w:rFonts w:cs="Arial"/>
              </w:rPr>
            </w:pPr>
            <w:r>
              <w:rPr>
                <w:rFonts w:cs="Arial"/>
              </w:rPr>
              <w:t>E-UTRA Operating Band</w:t>
            </w:r>
          </w:p>
        </w:tc>
        <w:tc>
          <w:tcPr>
            <w:tcW w:w="2693" w:type="dxa"/>
          </w:tcPr>
          <w:p w14:paraId="365A2022">
            <w:pPr>
              <w:pStyle w:val="53"/>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14:paraId="69F2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2CF740DE">
            <w:pPr>
              <w:pStyle w:val="54"/>
              <w:rPr>
                <w:rFonts w:cs="Arial"/>
              </w:rPr>
            </w:pPr>
            <w:r>
              <w:rPr>
                <w:rFonts w:cs="Arial"/>
              </w:rPr>
              <w:t>256</w:t>
            </w:r>
          </w:p>
        </w:tc>
        <w:tc>
          <w:tcPr>
            <w:tcW w:w="2693" w:type="dxa"/>
          </w:tcPr>
          <w:p w14:paraId="248052BA">
            <w:pPr>
              <w:pStyle w:val="54"/>
              <w:rPr>
                <w:ins w:id="16" w:author="CMCC-Luyang Zhao" w:date="2025-05-07T15:21:20Z"/>
                <w:rFonts w:cs="Arial"/>
              </w:rPr>
            </w:pPr>
            <w:r>
              <w:rPr>
                <w:rFonts w:cs="Arial"/>
              </w:rPr>
              <w:t>190 MHz</w:t>
            </w:r>
            <w:ins w:id="17" w:author="CMCC-Luyang Zhao" w:date="2025-05-07T15:22:51Z">
              <w:r>
                <w:rPr>
                  <w:rFonts w:hint="eastAsia" w:eastAsia="PMingLiU" w:cs="Arial"/>
                  <w:vertAlign w:val="superscript"/>
                  <w:lang w:eastAsia="zh-TW"/>
                </w:rPr>
                <w:t>1</w:t>
              </w:r>
            </w:ins>
          </w:p>
          <w:p w14:paraId="04A3F0D4">
            <w:pPr>
              <w:pStyle w:val="54"/>
              <w:rPr>
                <w:rFonts w:cs="Arial"/>
              </w:rPr>
            </w:pPr>
            <w:ins w:id="18" w:author="CMCC-Luyang Zhao" w:date="2025-05-07T15:21:20Z">
              <w:r>
                <w:rPr>
                  <w:rFonts w:cs="Arial"/>
                  <w:lang w:val="en-US" w:eastAsia="zh-CN"/>
                </w:rPr>
                <w:t>161.4 to 218.6 MHz</w:t>
              </w:r>
            </w:ins>
            <w:ins w:id="19" w:author="CMCC-Luyang Zhao" w:date="2025-05-07T15:21:20Z">
              <w:r>
                <w:rPr>
                  <w:rFonts w:cs="Arial"/>
                  <w:vertAlign w:val="superscript"/>
                  <w:lang w:val="en-US" w:eastAsia="zh-CN"/>
                </w:rPr>
                <w:t>2</w:t>
              </w:r>
            </w:ins>
          </w:p>
        </w:tc>
      </w:tr>
      <w:tr w14:paraId="48A1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13751530">
            <w:pPr>
              <w:pStyle w:val="54"/>
              <w:rPr>
                <w:rFonts w:cs="Arial"/>
              </w:rPr>
            </w:pPr>
            <w:r>
              <w:rPr>
                <w:rFonts w:cs="Arial"/>
              </w:rPr>
              <w:t>255</w:t>
            </w:r>
          </w:p>
        </w:tc>
        <w:tc>
          <w:tcPr>
            <w:tcW w:w="2693" w:type="dxa"/>
          </w:tcPr>
          <w:p w14:paraId="0DBA8C36">
            <w:pPr>
              <w:pStyle w:val="54"/>
              <w:rPr>
                <w:ins w:id="20" w:author="CMCC-Luyang Zhao" w:date="2025-05-07T15:21:25Z"/>
                <w:rFonts w:cs="Arial"/>
              </w:rPr>
            </w:pPr>
            <w:r>
              <w:rPr>
                <w:rFonts w:cs="Arial"/>
              </w:rPr>
              <w:t>-101.5 MHz</w:t>
            </w:r>
            <w:ins w:id="21" w:author="CMCC-Luyang Zhao" w:date="2025-05-07T15:22:53Z">
              <w:r>
                <w:rPr>
                  <w:rFonts w:hint="eastAsia" w:eastAsia="PMingLiU" w:cs="Arial"/>
                  <w:vertAlign w:val="superscript"/>
                  <w:lang w:eastAsia="zh-TW"/>
                </w:rPr>
                <w:t>1</w:t>
              </w:r>
            </w:ins>
          </w:p>
          <w:p w14:paraId="0302C5BD">
            <w:pPr>
              <w:pStyle w:val="54"/>
              <w:rPr>
                <w:rFonts w:cs="Arial"/>
              </w:rPr>
            </w:pPr>
            <w:ins w:id="22" w:author="CMCC-Luyang Zhao" w:date="2025-05-07T15:21:25Z">
              <w:r>
                <w:rPr>
                  <w:rFonts w:cs="Arial"/>
                  <w:lang w:val="en-US" w:eastAsia="zh-CN"/>
                </w:rPr>
                <w:t>-68.9 to -134.1 MHz</w:t>
              </w:r>
            </w:ins>
            <w:ins w:id="23" w:author="CMCC-Luyang Zhao" w:date="2025-05-07T15:21:25Z">
              <w:r>
                <w:rPr>
                  <w:rFonts w:cs="Arial"/>
                  <w:vertAlign w:val="superscript"/>
                  <w:lang w:val="en-US" w:eastAsia="zh-CN"/>
                </w:rPr>
                <w:t>2</w:t>
              </w:r>
            </w:ins>
          </w:p>
        </w:tc>
      </w:tr>
      <w:tr w14:paraId="3083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14:paraId="7CD6326A">
            <w:pPr>
              <w:pStyle w:val="54"/>
              <w:rPr>
                <w:rFonts w:cs="Arial"/>
                <w:lang w:eastAsia="zh-CN"/>
              </w:rPr>
            </w:pPr>
            <w:r>
              <w:rPr>
                <w:rFonts w:cs="Arial"/>
                <w:lang w:eastAsia="zh-CN"/>
              </w:rPr>
              <w:t>254</w:t>
            </w:r>
          </w:p>
        </w:tc>
        <w:tc>
          <w:tcPr>
            <w:tcW w:w="2693" w:type="dxa"/>
          </w:tcPr>
          <w:p w14:paraId="4058FA34">
            <w:pPr>
              <w:pStyle w:val="54"/>
              <w:rPr>
                <w:ins w:id="24" w:author="CMCC-Luyang Zhao" w:date="2025-05-07T15:21:30Z"/>
                <w:rFonts w:cs="Arial"/>
                <w:lang w:eastAsia="zh-CN"/>
              </w:rPr>
            </w:pPr>
            <w:r>
              <w:rPr>
                <w:rFonts w:cs="Arial"/>
                <w:lang w:eastAsia="zh-CN"/>
              </w:rPr>
              <w:t>873.5 MHz</w:t>
            </w:r>
            <w:ins w:id="25" w:author="CMCC-Luyang Zhao" w:date="2025-05-07T15:22:53Z">
              <w:r>
                <w:rPr>
                  <w:rFonts w:hint="eastAsia" w:eastAsia="PMingLiU" w:cs="Arial"/>
                  <w:vertAlign w:val="superscript"/>
                  <w:lang w:eastAsia="zh-TW"/>
                </w:rPr>
                <w:t>1</w:t>
              </w:r>
            </w:ins>
          </w:p>
          <w:p w14:paraId="01DEFE62">
            <w:pPr>
              <w:pStyle w:val="54"/>
              <w:rPr>
                <w:rFonts w:cs="Arial"/>
                <w:lang w:eastAsia="zh-CN"/>
              </w:rPr>
            </w:pPr>
            <w:ins w:id="26" w:author="CMCC-Luyang Zhao" w:date="2025-05-07T15:21:30Z">
              <w:r>
                <w:rPr>
                  <w:rFonts w:cs="Arial"/>
                  <w:lang w:val="en-US" w:eastAsia="zh-CN"/>
                </w:rPr>
                <w:t>858.4 to 888.6 MHz</w:t>
              </w:r>
            </w:ins>
            <w:ins w:id="27" w:author="CMCC-Luyang Zhao" w:date="2025-05-07T15:21:30Z">
              <w:r>
                <w:rPr>
                  <w:rFonts w:cs="Arial"/>
                  <w:vertAlign w:val="superscript"/>
                  <w:lang w:val="en-US" w:eastAsia="zh-CN"/>
                </w:rPr>
                <w:t>2</w:t>
              </w:r>
            </w:ins>
          </w:p>
        </w:tc>
      </w:tr>
      <w:tr w14:paraId="4BF8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14:paraId="242231A9">
            <w:pPr>
              <w:pStyle w:val="54"/>
              <w:rPr>
                <w:rFonts w:cs="Arial"/>
                <w:lang w:eastAsia="zh-CN"/>
              </w:rPr>
            </w:pPr>
            <w:r>
              <w:rPr>
                <w:rFonts w:cs="Arial"/>
                <w:lang w:eastAsia="zh-CN"/>
              </w:rPr>
              <w:t>253</w:t>
            </w:r>
          </w:p>
        </w:tc>
        <w:tc>
          <w:tcPr>
            <w:tcW w:w="2693" w:type="dxa"/>
            <w:tcBorders>
              <w:top w:val="single" w:color="auto" w:sz="4" w:space="0"/>
              <w:left w:val="single" w:color="auto" w:sz="4" w:space="0"/>
              <w:bottom w:val="single" w:color="auto" w:sz="4" w:space="0"/>
              <w:right w:val="single" w:color="auto" w:sz="4" w:space="0"/>
            </w:tcBorders>
          </w:tcPr>
          <w:p w14:paraId="4ED7E853">
            <w:pPr>
              <w:pStyle w:val="54"/>
              <w:rPr>
                <w:ins w:id="28" w:author="CMCC-Luyang Zhao" w:date="2025-05-07T15:21:35Z"/>
                <w:rFonts w:cs="Arial"/>
                <w:lang w:eastAsia="zh-CN"/>
              </w:rPr>
            </w:pPr>
            <w:r>
              <w:rPr>
                <w:rFonts w:cs="Arial"/>
                <w:lang w:eastAsia="zh-CN"/>
              </w:rPr>
              <w:t>-150 MHz</w:t>
            </w:r>
            <w:ins w:id="29" w:author="CMCC-Luyang Zhao" w:date="2025-05-07T15:22:55Z">
              <w:r>
                <w:rPr>
                  <w:rFonts w:hint="eastAsia" w:eastAsia="PMingLiU" w:cs="Arial"/>
                  <w:vertAlign w:val="superscript"/>
                  <w:lang w:eastAsia="zh-TW"/>
                </w:rPr>
                <w:t>1</w:t>
              </w:r>
            </w:ins>
          </w:p>
          <w:p w14:paraId="0485C47A">
            <w:pPr>
              <w:pStyle w:val="54"/>
              <w:rPr>
                <w:rFonts w:cs="Arial"/>
                <w:lang w:eastAsia="zh-CN"/>
              </w:rPr>
            </w:pPr>
            <w:ins w:id="30" w:author="CMCC-Luyang Zhao" w:date="2025-05-07T15:21:35Z">
              <w:r>
                <w:rPr>
                  <w:rFonts w:cs="Arial"/>
                  <w:lang w:val="en-US" w:eastAsia="zh-CN"/>
                </w:rPr>
                <w:t>-144.4 to -155.6 MHz</w:t>
              </w:r>
            </w:ins>
            <w:ins w:id="31" w:author="CMCC-Luyang Zhao" w:date="2025-05-07T15:21:35Z">
              <w:r>
                <w:rPr>
                  <w:rFonts w:cs="Arial"/>
                  <w:vertAlign w:val="superscript"/>
                  <w:lang w:val="en-US" w:eastAsia="zh-CN"/>
                </w:rPr>
                <w:t>2</w:t>
              </w:r>
            </w:ins>
          </w:p>
        </w:tc>
      </w:tr>
      <w:tr w14:paraId="4E2A0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ins w:id="32" w:author="CMCC-Luyang Zhao" w:date="2025-05-07T15:21:41Z"/>
        </w:trPr>
        <w:tc>
          <w:tcPr>
            <w:tcW w:w="5510" w:type="dxa"/>
            <w:gridSpan w:val="2"/>
            <w:tcBorders>
              <w:top w:val="single" w:color="auto" w:sz="4" w:space="0"/>
              <w:left w:val="single" w:color="auto" w:sz="4" w:space="0"/>
              <w:bottom w:val="single" w:color="auto" w:sz="4" w:space="0"/>
              <w:right w:val="single" w:color="auto" w:sz="4" w:space="0"/>
            </w:tcBorders>
          </w:tcPr>
          <w:p w14:paraId="26555078">
            <w:pPr>
              <w:pStyle w:val="54"/>
              <w:jc w:val="left"/>
              <w:rPr>
                <w:ins w:id="33" w:author="CMCC-Luyang Zhao" w:date="2025-05-07T15:21:49Z"/>
                <w:lang w:eastAsia="zh-CN"/>
              </w:rPr>
            </w:pPr>
            <w:ins w:id="34" w:author="CMCC-Luyang Zhao" w:date="2025-05-07T15:21:49Z">
              <w:r>
                <w:rPr>
                  <w:lang w:eastAsia="zh-CN"/>
                </w:rPr>
                <w:t xml:space="preserve">NOTE 1: </w:t>
              </w:r>
            </w:ins>
            <w:ins w:id="35" w:author="CMCC-Luyang Zhao" w:date="2025-05-07T15:21:49Z">
              <w:r>
                <w:rPr>
                  <w:lang w:eastAsia="zh-CN"/>
                </w:rPr>
                <w:tab/>
              </w:r>
            </w:ins>
            <w:ins w:id="36" w:author="CMCC-Luyang Zhao" w:date="2025-05-07T15:21:49Z">
              <w:r>
                <w:rPr>
                  <w:lang w:eastAsia="zh-CN"/>
                </w:rPr>
                <w:t>Default TX-RX separation.</w:t>
              </w:r>
            </w:ins>
          </w:p>
          <w:p w14:paraId="6BB351D8">
            <w:pPr>
              <w:pStyle w:val="54"/>
              <w:jc w:val="left"/>
              <w:rPr>
                <w:ins w:id="37" w:author="CMCC-Luyang Zhao" w:date="2025-05-07T15:21:41Z"/>
                <w:rFonts w:cs="Arial"/>
                <w:lang w:val="en-US" w:eastAsia="zh-CN"/>
              </w:rPr>
            </w:pPr>
            <w:ins w:id="38" w:author="CMCC-Luyang Zhao" w:date="2025-05-07T15:21:49Z">
              <w:r>
                <w:rPr>
                  <w:lang w:eastAsia="zh-CN"/>
                </w:rPr>
                <w:t xml:space="preserve">NOTE 2: </w:t>
              </w:r>
            </w:ins>
            <w:ins w:id="39" w:author="CMCC-Luyang Zhao" w:date="2025-05-07T15:21:49Z">
              <w:r>
                <w:rPr>
                  <w:lang w:eastAsia="zh-CN"/>
                </w:rPr>
                <w:tab/>
              </w:r>
            </w:ins>
            <w:ins w:id="40" w:author="CMCC-Luyang Zhao" w:date="2025-05-07T15:21:49Z">
              <w:r>
                <w:rPr>
                  <w:lang w:eastAsia="zh-CN"/>
                </w:rPr>
                <w:t>The verification of flexible TX-RX frequency separation within this range is limited to reference sensitivity. Further details are specified in clause 7.3A.</w:t>
              </w:r>
            </w:ins>
          </w:p>
        </w:tc>
      </w:tr>
    </w:tbl>
    <w:p w14:paraId="311FEBD4"/>
    <w:p w14:paraId="13CA538F">
      <w:pPr>
        <w:pStyle w:val="77"/>
        <w:rPr>
          <w:del w:id="41" w:author="CMCC-Luyang Zhao" w:date="2025-05-07T15:21:09Z"/>
        </w:rPr>
      </w:pPr>
      <w:del w:id="42" w:author="CMCC-Luyang Zhao" w:date="2025-05-07T15:21:09Z">
        <w:bookmarkStart w:id="73" w:name="_Toc12815"/>
        <w:bookmarkStart w:id="74" w:name="_Toc31551"/>
        <w:bookmarkStart w:id="75" w:name="_Toc24822"/>
        <w:bookmarkStart w:id="76" w:name="_Toc26630"/>
        <w:bookmarkStart w:id="77" w:name="_Toc120570017"/>
        <w:bookmarkStart w:id="78" w:name="_Toc12780"/>
        <w:bookmarkStart w:id="79" w:name="_Toc31042"/>
        <w:bookmarkStart w:id="80" w:name="_Toc121162809"/>
        <w:r>
          <w:rPr/>
          <w:delText>b)</w:delText>
        </w:r>
      </w:del>
      <w:del w:id="43" w:author="CMCC-Luyang Zhao" w:date="2025-05-07T15:21:09Z">
        <w:r>
          <w:rPr/>
          <w:tab/>
        </w:r>
      </w:del>
      <w:del w:id="44" w:author="CMCC-Luyang Zhao" w:date="2025-05-07T15:21:09Z">
        <w:r>
          <w:rPr/>
          <w:delText xml:space="preserve">The use of other TX channel to RX channel carrier centre frequency separation is not precluded and </w:delText>
        </w:r>
      </w:del>
      <w:del w:id="45" w:author="CMCC-Luyang Zhao" w:date="2025-05-07T15:21:09Z">
        <w:r>
          <w:rPr>
            <w:rFonts w:cs="v5.0.0"/>
            <w:snapToGrid w:val="0"/>
          </w:rPr>
          <w:delText>is intended to form part of a later release</w:delText>
        </w:r>
      </w:del>
      <w:del w:id="46" w:author="CMCC-Luyang Zhao" w:date="2025-05-07T15:21:09Z">
        <w:r>
          <w:rPr/>
          <w:delText>.</w:delText>
        </w:r>
      </w:del>
    </w:p>
    <w:p w14:paraId="71150AA9">
      <w:pPr>
        <w:pStyle w:val="3"/>
      </w:pPr>
      <w:bookmarkStart w:id="81" w:name="_Toc194571785"/>
      <w:r>
        <w:t>5.4B</w:t>
      </w:r>
      <w:r>
        <w:tab/>
      </w:r>
      <w:r>
        <w:t>Channel arrangement for category NB1 and NB2</w:t>
      </w:r>
      <w:bookmarkEnd w:id="73"/>
      <w:bookmarkEnd w:id="74"/>
      <w:bookmarkEnd w:id="75"/>
      <w:bookmarkEnd w:id="76"/>
      <w:bookmarkEnd w:id="77"/>
      <w:bookmarkEnd w:id="78"/>
      <w:bookmarkEnd w:id="79"/>
      <w:bookmarkEnd w:id="80"/>
      <w:bookmarkEnd w:id="81"/>
    </w:p>
    <w:p w14:paraId="4F46F839">
      <w:pPr>
        <w:pStyle w:val="4"/>
      </w:pPr>
      <w:bookmarkStart w:id="82" w:name="_Toc5841"/>
      <w:bookmarkStart w:id="83" w:name="_Toc120570018"/>
      <w:bookmarkStart w:id="84" w:name="_Toc121162810"/>
      <w:bookmarkStart w:id="85" w:name="_Toc20872"/>
      <w:bookmarkStart w:id="86" w:name="_Toc15707"/>
      <w:bookmarkStart w:id="87" w:name="_Toc19032"/>
      <w:bookmarkStart w:id="88" w:name="_Toc18832"/>
      <w:bookmarkStart w:id="89" w:name="_Toc10173"/>
      <w:bookmarkStart w:id="90" w:name="_Toc194571786"/>
      <w:r>
        <w:t>5.4B.1</w:t>
      </w:r>
      <w:r>
        <w:tab/>
      </w:r>
      <w:r>
        <w:t>Channel spacing</w:t>
      </w:r>
      <w:bookmarkEnd w:id="82"/>
      <w:bookmarkEnd w:id="83"/>
      <w:bookmarkEnd w:id="84"/>
      <w:bookmarkEnd w:id="85"/>
      <w:bookmarkEnd w:id="86"/>
      <w:bookmarkEnd w:id="87"/>
      <w:bookmarkEnd w:id="88"/>
      <w:bookmarkEnd w:id="89"/>
      <w:bookmarkEnd w:id="90"/>
    </w:p>
    <w:p w14:paraId="70AD72CD">
      <w:r>
        <w:t>Nominal channel spacing for UE category NB1 and NB2 in stand-alone mode is 200 kHz.</w:t>
      </w:r>
      <w:ins w:id="47" w:author="CMCC-Luyang Zhao" w:date="2025-05-07T15:59:29Z">
        <w:r>
          <w:rPr/>
          <w:t xml:space="preserve"> For in-band operation, the nominal channel spacing between two adjacent category NB1 </w:t>
        </w:r>
      </w:ins>
      <w:ins w:id="48" w:author="CMCC-Luyang Zhao" w:date="2025-05-07T15:59:29Z">
        <w:r>
          <w:rPr>
            <w:lang w:eastAsia="zh-CN"/>
          </w:rPr>
          <w:t>or</w:t>
        </w:r>
      </w:ins>
      <w:ins w:id="49" w:author="CMCC-Luyang Zhao" w:date="2025-05-07T15:59:29Z">
        <w:r>
          <w:rPr/>
          <w:t xml:space="preserve"> NB2 carriers is 180 kHz.</w:t>
        </w:r>
      </w:ins>
    </w:p>
    <w:p w14:paraId="491A2958">
      <w:pPr>
        <w:pStyle w:val="4"/>
      </w:pPr>
      <w:bookmarkStart w:id="91" w:name="_Toc121162811"/>
      <w:bookmarkStart w:id="92" w:name="_Toc194571787"/>
      <w:bookmarkStart w:id="93" w:name="_Toc1120"/>
      <w:bookmarkStart w:id="94" w:name="_Toc4561"/>
      <w:bookmarkStart w:id="95" w:name="_Toc23697"/>
      <w:bookmarkStart w:id="96" w:name="_Toc120570019"/>
      <w:bookmarkStart w:id="97" w:name="_Toc10208"/>
      <w:bookmarkStart w:id="98" w:name="_Toc1083"/>
      <w:bookmarkStart w:id="99" w:name="_Toc9869"/>
      <w:r>
        <w:t>5.4B.2</w:t>
      </w:r>
      <w:r>
        <w:tab/>
      </w:r>
      <w:r>
        <w:t>Channel raster, carrier frequency and EARFCN</w:t>
      </w:r>
      <w:bookmarkEnd w:id="91"/>
      <w:bookmarkEnd w:id="92"/>
      <w:bookmarkEnd w:id="93"/>
      <w:bookmarkEnd w:id="94"/>
      <w:bookmarkEnd w:id="95"/>
      <w:bookmarkEnd w:id="96"/>
      <w:bookmarkEnd w:id="97"/>
      <w:bookmarkEnd w:id="98"/>
      <w:bookmarkEnd w:id="99"/>
    </w:p>
    <w:p w14:paraId="21F01C34">
      <w:pPr>
        <w:pStyle w:val="5"/>
        <w:rPr>
          <w:ins w:id="50" w:author="CMCC-Luyang Zhao" w:date="2025-05-07T15:59:19Z"/>
        </w:rPr>
      </w:pPr>
      <w:ins w:id="51" w:author="CMCC-Luyang Zhao" w:date="2025-05-07T15:59:19Z">
        <w:r>
          <w:rPr/>
          <w:t>5.4B.2.1</w:t>
        </w:r>
      </w:ins>
      <w:ins w:id="52" w:author="CMCC-Luyang Zhao" w:date="2025-05-07T15:59:19Z">
        <w:r>
          <w:rPr/>
          <w:tab/>
        </w:r>
      </w:ins>
      <w:ins w:id="53" w:author="CMCC-Luyang Zhao" w:date="2025-05-07T15:59:19Z">
        <w:r>
          <w:rPr/>
          <w:t>General</w:t>
        </w:r>
      </w:ins>
    </w:p>
    <w:p w14:paraId="0BB0ED03">
      <w:pPr>
        <w:rPr>
          <w:rFonts w:eastAsia="宋体"/>
        </w:rPr>
      </w:pPr>
      <w:r>
        <w:rPr>
          <w:rFonts w:eastAsia="宋体"/>
        </w:rPr>
        <w:t xml:space="preserve">The channel raster of UE category </w:t>
      </w:r>
      <w:r>
        <w:t xml:space="preserve">NB1/NB2 </w:t>
      </w:r>
      <w:r>
        <w:rPr>
          <w:rFonts w:eastAsia="宋体"/>
        </w:rPr>
        <w:t>shall be as defined in clause 5.4A.2, and the channel raster per-frequency band shall be as defined in table 5.4A.2-1.</w:t>
      </w:r>
    </w:p>
    <w:p w14:paraId="699A66A8">
      <w:pPr>
        <w:rPr>
          <w:ins w:id="54" w:author="CMCC-Luyang Zhao" w:date="2025-05-07T15:58:50Z"/>
        </w:rPr>
      </w:pPr>
      <w:r>
        <w:rPr>
          <w:rFonts w:eastAsia="宋体"/>
        </w:rPr>
        <w:t>T</w:t>
      </w:r>
      <w:r>
        <w:t>he carrier frequency</w:t>
      </w:r>
      <w:r>
        <w:rPr>
          <w:rFonts w:eastAsia="宋体"/>
        </w:rPr>
        <w:t xml:space="preserve"> of UE category </w:t>
      </w:r>
      <w:r>
        <w:t>NB1/NB2</w:t>
      </w:r>
      <w:r>
        <w:rPr>
          <w:rFonts w:eastAsia="宋体"/>
        </w:rPr>
        <w:t xml:space="preserve"> </w:t>
      </w:r>
      <w:r>
        <w:t xml:space="preserve">in </w:t>
      </w:r>
      <w:r>
        <w:rPr>
          <w:rFonts w:eastAsia="宋体"/>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w:t>
      </w:r>
      <w:del w:id="55" w:author="CMCC-Luyang Zhao" w:date="2025-05-07T15:58:50Z">
        <w:r>
          <w:rPr/>
          <w:delText xml:space="preserve"> </w:delText>
        </w:r>
      </w:del>
    </w:p>
    <w:p w14:paraId="7C48006A">
      <w:pPr>
        <w:rPr>
          <w:ins w:id="56" w:author="CMCC-Luyang Zhao" w:date="2025-05-07T15:59:14Z"/>
        </w:rPr>
      </w:pPr>
      <w:ins w:id="57" w:author="CMCC-Luyang Zhao" w:date="2025-05-07T15:59:14Z">
        <w:r>
          <w:rPr/>
          <w:t>The carrier frequency of UE category NB1/NB2 in the uplink is designated by the E-UTRA Absolute Radio Frequency Channel Number (EARFCN) as defined in Table 5.4</w:t>
        </w:r>
      </w:ins>
      <w:ins w:id="58" w:author="CMCC-Luyang Zhao" w:date="2025-05-07T15:59:14Z">
        <w:r>
          <w:rPr>
            <w:lang w:eastAsia="zh-TW"/>
          </w:rPr>
          <w:t>A</w:t>
        </w:r>
      </w:ins>
      <w:ins w:id="59" w:author="CMCC-Luyang Zhao" w:date="2025-05-07T15:59:14Z">
        <w:r>
          <w:rPr/>
          <w:t>.2-1, and the Offset of category NB1/NB2 Channel Number to EARFCN in the range of {-10, -9, -8, -7, -6, -5, -4, -3, -2, -1, 0, 1, 2, 3, 4, 5, 6, 7, 8, 9} for FDD.</w:t>
        </w:r>
      </w:ins>
    </w:p>
    <w:p w14:paraId="4CC7B8D7">
      <w:pPr>
        <w:pStyle w:val="5"/>
        <w:rPr>
          <w:ins w:id="60" w:author="CMCC-Luyang Zhao" w:date="2025-05-07T15:58:51Z"/>
        </w:rPr>
      </w:pPr>
      <w:ins w:id="61" w:author="CMCC-Luyang Zhao" w:date="2025-05-07T15:58:51Z">
        <w:r>
          <w:rPr/>
          <w:t>5.4B.2.2</w:t>
        </w:r>
      </w:ins>
      <w:ins w:id="62" w:author="CMCC-Luyang Zhao" w:date="2025-05-07T15:58:51Z">
        <w:r>
          <w:rPr/>
          <w:tab/>
        </w:r>
      </w:ins>
      <w:ins w:id="63" w:author="CMCC-Luyang Zhao" w:date="2025-05-07T15:58:51Z">
        <w:r>
          <w:rPr/>
          <w:t>Stand-alone operation</w:t>
        </w:r>
      </w:ins>
    </w:p>
    <w:p w14:paraId="1D814FFA">
      <w:pPr>
        <w:rPr>
          <w:rFonts w:eastAsia="宋体"/>
        </w:rPr>
      </w:pPr>
      <w:r>
        <w:t>The relation between EARFCN</w:t>
      </w:r>
      <w:r>
        <w:rPr>
          <w:rFonts w:eastAsia="宋体"/>
        </w:rPr>
        <w:t xml:space="preserve">, Offset of category </w:t>
      </w:r>
      <w:r>
        <w:t>NB1/NB2</w:t>
      </w:r>
      <w:r>
        <w:rPr>
          <w:rFonts w:eastAsia="宋体"/>
        </w:rPr>
        <w:t xml:space="preserve"> Channel Number to EARFCN</w:t>
      </w:r>
      <w:r>
        <w:t xml:space="preserve"> and the carrier frequency in MHz for the downlink is given by the following equation, where F</w:t>
      </w:r>
      <w:r>
        <w:rPr>
          <w:vertAlign w:val="subscript"/>
        </w:rPr>
        <w:t>DL</w:t>
      </w:r>
      <w:r>
        <w:t xml:space="preserve"> </w:t>
      </w:r>
      <w:r>
        <w:rPr>
          <w:rFonts w:eastAsia="宋体"/>
        </w:rPr>
        <w:t xml:space="preserve">is the downlink carrier frequency of </w:t>
      </w:r>
      <w:r>
        <w:t>category NB1/NB2</w:t>
      </w:r>
      <w:r>
        <w:rPr>
          <w:rFonts w:eastAsia="宋体"/>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宋体"/>
        </w:rPr>
        <w:t xml:space="preserve">, </w:t>
      </w:r>
      <w:r>
        <w:t>N</w:t>
      </w:r>
      <w:r>
        <w:rPr>
          <w:vertAlign w:val="subscript"/>
        </w:rPr>
        <w:t>DL</w:t>
      </w:r>
      <w:r>
        <w:t xml:space="preserve"> is the downlink EARFCN</w:t>
      </w:r>
      <w:r>
        <w:rPr>
          <w:rFonts w:eastAsia="宋体"/>
        </w:rPr>
        <w:t>, M</w:t>
      </w:r>
      <w:r>
        <w:rPr>
          <w:vertAlign w:val="subscript"/>
        </w:rPr>
        <w:t>DL</w:t>
      </w:r>
      <w:r>
        <w:rPr>
          <w:rFonts w:eastAsia="宋体"/>
          <w:vertAlign w:val="subscript"/>
        </w:rPr>
        <w:t xml:space="preserve"> </w:t>
      </w:r>
      <w:r>
        <w:rPr>
          <w:rFonts w:eastAsia="宋体"/>
        </w:rPr>
        <w:t xml:space="preserve">is the Offset of category </w:t>
      </w:r>
      <w:r>
        <w:t>NB1/NB2</w:t>
      </w:r>
      <w:r>
        <w:rPr>
          <w:rFonts w:eastAsia="宋体"/>
        </w:rPr>
        <w:t xml:space="preserve"> Channel Number to downlink EARFCN.</w:t>
      </w:r>
    </w:p>
    <w:p w14:paraId="04E5F307">
      <w:pPr>
        <w:pStyle w:val="64"/>
        <w:spacing w:after="240"/>
        <w:jc w:val="center"/>
        <w:rPr>
          <w:rFonts w:eastAsia="宋体"/>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宋体"/>
        </w:rPr>
        <w:t xml:space="preserve"> + 0.0025*(2M</w:t>
      </w:r>
      <w:r>
        <w:rPr>
          <w:rFonts w:eastAsia="宋体"/>
          <w:vertAlign w:val="subscript"/>
        </w:rPr>
        <w:t>DL</w:t>
      </w:r>
      <w:r>
        <w:rPr>
          <w:rFonts w:eastAsia="宋体"/>
        </w:rPr>
        <w:t>)</w:t>
      </w:r>
    </w:p>
    <w:p w14:paraId="04A918C8">
      <w:pPr>
        <w:rPr>
          <w:rFonts w:eastAsia="宋体"/>
        </w:rPr>
      </w:pPr>
      <w:del w:id="64" w:author="CMCC-Luyang Zhao" w:date="2025-05-07T15:58:43Z">
        <w:r>
          <w:rPr/>
          <w:delText xml:space="preserve">The carrier frequency </w:delText>
        </w:r>
      </w:del>
      <w:del w:id="65" w:author="CMCC-Luyang Zhao" w:date="2025-05-07T15:58:43Z">
        <w:r>
          <w:rPr>
            <w:rFonts w:eastAsia="宋体"/>
          </w:rPr>
          <w:delText xml:space="preserve">of UE category </w:delText>
        </w:r>
      </w:del>
      <w:del w:id="66" w:author="CMCC-Luyang Zhao" w:date="2025-05-07T15:58:43Z">
        <w:r>
          <w:rPr/>
          <w:delText>NB1/NB2</w:delText>
        </w:r>
      </w:del>
      <w:del w:id="67" w:author="CMCC-Luyang Zhao" w:date="2025-05-07T15:58:43Z">
        <w:r>
          <w:rPr>
            <w:rFonts w:eastAsia="宋体"/>
          </w:rPr>
          <w:delText xml:space="preserve"> </w:delText>
        </w:r>
      </w:del>
      <w:del w:id="68" w:author="CMCC-Luyang Zhao" w:date="2025-05-07T15:58:43Z">
        <w:r>
          <w:rPr/>
          <w:delText xml:space="preserve">in </w:delText>
        </w:r>
      </w:del>
      <w:del w:id="69" w:author="CMCC-Luyang Zhao" w:date="2025-05-07T15:58:43Z">
        <w:r>
          <w:rPr>
            <w:rFonts w:eastAsia="宋体"/>
          </w:rPr>
          <w:delText>the uplink</w:delText>
        </w:r>
      </w:del>
      <w:del w:id="70" w:author="CMCC-Luyang Zhao" w:date="2025-05-07T15:58:43Z">
        <w:r>
          <w:rPr/>
          <w:delText xml:space="preserve"> is designated by the E-UTRA Absolute Radio Frequency Channel Number (EARFCN) as defined in Table 5.4</w:delText>
        </w:r>
      </w:del>
      <w:del w:id="71" w:author="CMCC-Luyang Zhao" w:date="2025-05-07T15:58:43Z">
        <w:r>
          <w:rPr>
            <w:lang w:eastAsia="zh-TW"/>
          </w:rPr>
          <w:delText>A</w:delText>
        </w:r>
      </w:del>
      <w:del w:id="72" w:author="CMCC-Luyang Zhao" w:date="2025-05-07T15:58:43Z">
        <w:r>
          <w:rPr/>
          <w:delText xml:space="preserve">.2-1, and the Offset of category NB1/NB2 Channel Number to EARFCN in the range of {-10, -9, -8, -7, -6, -5, -4, -3, -2, -1, 0, 1, 2, 3, 4, 5, 6, 7, 8, 9} for FDD. </w:delText>
        </w:r>
      </w:del>
      <w:r>
        <w:t>The relation between EARFCN</w:t>
      </w:r>
      <w:r>
        <w:rPr>
          <w:rFonts w:eastAsia="宋体"/>
        </w:rPr>
        <w:t xml:space="preserve">, Offset of </w:t>
      </w:r>
      <w:r>
        <w:t>category NB1/NB2</w:t>
      </w:r>
      <w:r>
        <w:rPr>
          <w:rFonts w:eastAsia="宋体"/>
        </w:rPr>
        <w:t xml:space="preserve"> Channel Number</w:t>
      </w:r>
      <w:r>
        <w:t xml:space="preserve"> </w:t>
      </w:r>
      <w:r>
        <w:rPr>
          <w:rFonts w:eastAsia="宋体"/>
        </w:rPr>
        <w:t xml:space="preserve">to EARFCN </w:t>
      </w:r>
      <w:r>
        <w:t xml:space="preserve">and the carrier frequency in MHz for the </w:t>
      </w:r>
      <w:r>
        <w:rPr>
          <w:rFonts w:eastAsia="宋体"/>
        </w:rPr>
        <w:t>uplink</w:t>
      </w:r>
      <w:r>
        <w:t xml:space="preserve"> is given by the following equation, where F</w:t>
      </w:r>
      <w:r>
        <w:rPr>
          <w:rFonts w:eastAsia="宋体"/>
          <w:vertAlign w:val="subscript"/>
        </w:rPr>
        <w:t>U</w:t>
      </w:r>
      <w:r>
        <w:rPr>
          <w:vertAlign w:val="subscript"/>
        </w:rPr>
        <w:t>L</w:t>
      </w:r>
      <w:r>
        <w:t xml:space="preserve"> </w:t>
      </w:r>
      <w:r>
        <w:rPr>
          <w:rFonts w:eastAsia="宋体"/>
        </w:rPr>
        <w:t xml:space="preserve">is the uplink carrier frequency of category </w:t>
      </w:r>
      <w:r>
        <w:t>NB1/NB2</w:t>
      </w:r>
      <w:r>
        <w:rPr>
          <w:rFonts w:eastAsia="宋体"/>
        </w:rPr>
        <w:t xml:space="preserve">, </w:t>
      </w:r>
      <w:r>
        <w:t>F</w:t>
      </w:r>
      <w:r>
        <w:rPr>
          <w:rFonts w:eastAsia="宋体"/>
          <w:vertAlign w:val="subscript"/>
        </w:rPr>
        <w:t>U</w:t>
      </w:r>
      <w:r>
        <w:rPr>
          <w:vertAlign w:val="subscript"/>
        </w:rPr>
        <w:t>L_low</w:t>
      </w:r>
      <w:r>
        <w:t xml:space="preserve"> and N</w:t>
      </w:r>
      <w:r>
        <w:rPr>
          <w:vertAlign w:val="subscript"/>
        </w:rPr>
        <w:t>Offs-</w:t>
      </w:r>
      <w:r>
        <w:rPr>
          <w:rFonts w:eastAsia="宋体"/>
          <w:vertAlign w:val="subscript"/>
        </w:rPr>
        <w:t>U</w:t>
      </w:r>
      <w:r>
        <w:rPr>
          <w:vertAlign w:val="subscript"/>
        </w:rPr>
        <w:t>L</w:t>
      </w:r>
      <w:r>
        <w:t xml:space="preserve"> are given in table 5.4</w:t>
      </w:r>
      <w:r>
        <w:rPr>
          <w:lang w:eastAsia="zh-TW"/>
        </w:rPr>
        <w:t>A</w:t>
      </w:r>
      <w:r>
        <w:t>.2-1</w:t>
      </w:r>
      <w:r>
        <w:rPr>
          <w:rFonts w:eastAsia="宋体"/>
        </w:rPr>
        <w:t xml:space="preserve">, </w:t>
      </w:r>
      <w:r>
        <w:t>N</w:t>
      </w:r>
      <w:r>
        <w:rPr>
          <w:rFonts w:eastAsia="宋体"/>
          <w:vertAlign w:val="subscript"/>
        </w:rPr>
        <w:t>U</w:t>
      </w:r>
      <w:r>
        <w:rPr>
          <w:vertAlign w:val="subscript"/>
        </w:rPr>
        <w:t>L</w:t>
      </w:r>
      <w:r>
        <w:t xml:space="preserve"> is the </w:t>
      </w:r>
      <w:r>
        <w:rPr>
          <w:rFonts w:eastAsia="宋体"/>
        </w:rPr>
        <w:t>uplink</w:t>
      </w:r>
      <w:r>
        <w:t xml:space="preserve"> EARFCN</w:t>
      </w:r>
      <w:r>
        <w:rPr>
          <w:rFonts w:eastAsia="宋体"/>
        </w:rPr>
        <w:t>, M</w:t>
      </w:r>
      <w:r>
        <w:rPr>
          <w:rFonts w:eastAsia="宋体"/>
          <w:vertAlign w:val="subscript"/>
        </w:rPr>
        <w:t>U</w:t>
      </w:r>
      <w:r>
        <w:rPr>
          <w:vertAlign w:val="subscript"/>
        </w:rPr>
        <w:t>L</w:t>
      </w:r>
      <w:r>
        <w:rPr>
          <w:rFonts w:eastAsia="宋体"/>
          <w:vertAlign w:val="subscript"/>
        </w:rPr>
        <w:t xml:space="preserve"> </w:t>
      </w:r>
      <w:r>
        <w:rPr>
          <w:rFonts w:eastAsia="宋体"/>
        </w:rPr>
        <w:t xml:space="preserve">is the Offset of </w:t>
      </w:r>
      <w:r>
        <w:t>category NB1/NB2</w:t>
      </w:r>
      <w:r>
        <w:rPr>
          <w:rFonts w:eastAsia="宋体"/>
        </w:rPr>
        <w:t xml:space="preserve"> Channel Number to uplink EARFCN.</w:t>
      </w:r>
    </w:p>
    <w:p w14:paraId="66285DD6">
      <w:pPr>
        <w:pStyle w:val="64"/>
        <w:spacing w:after="240"/>
        <w:jc w:val="center"/>
        <w:rPr>
          <w:rFonts w:eastAsia="宋体"/>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宋体"/>
        </w:rPr>
        <w:t xml:space="preserve"> + 0.0025*(2M</w:t>
      </w:r>
      <w:r>
        <w:rPr>
          <w:rFonts w:eastAsia="宋体"/>
          <w:vertAlign w:val="subscript"/>
        </w:rPr>
        <w:t>UL</w:t>
      </w:r>
      <w:r>
        <w:rPr>
          <w:rFonts w:eastAsia="宋体"/>
        </w:rPr>
        <w:t>)</w:t>
      </w:r>
    </w:p>
    <w:p w14:paraId="35A4C8E3">
      <w:pPr>
        <w:pStyle w:val="58"/>
        <w:rPr>
          <w:del w:id="73" w:author="CMCC-Luyang Zhao" w:date="2025-05-07T15:58:35Z"/>
        </w:rPr>
      </w:pPr>
      <w:del w:id="74" w:author="CMCC-Luyang Zhao" w:date="2025-05-07T15:58:35Z">
        <w:r>
          <w:rPr/>
          <w:delText>NOTE 1:</w:delText>
        </w:r>
      </w:del>
      <w:del w:id="75" w:author="CMCC-Luyang Zhao" w:date="2025-05-07T15:58:35Z">
        <w:r>
          <w:rPr/>
          <w:tab/>
        </w:r>
      </w:del>
      <w:del w:id="76" w:author="CMCC-Luyang Zhao" w:date="2025-05-07T15:58:35Z">
        <w:r>
          <w:rPr/>
          <w:delText>Guard-band operation and in-band operation for NB-IoT are not supported in this version of the specification.</w:delText>
        </w:r>
      </w:del>
    </w:p>
    <w:p w14:paraId="0DBB86C2">
      <w:pPr>
        <w:pStyle w:val="58"/>
        <w:rPr>
          <w:del w:id="77" w:author="CMCC-Luyang Zhao" w:date="2025-05-07T15:58:35Z"/>
        </w:rPr>
      </w:pPr>
      <w:del w:id="78" w:author="CMCC-Luyang Zhao" w:date="2025-05-07T15:58:35Z">
        <w:r>
          <w:rPr>
            <w:rFonts w:cs="v5.0.0"/>
          </w:rPr>
          <w:delText>NOTE 2:</w:delText>
        </w:r>
      </w:del>
      <w:del w:id="79" w:author="CMCC-Luyang Zhao" w:date="2025-05-07T15:58:35Z">
        <w:r>
          <w:rPr>
            <w:rFonts w:cs="v5.0.0"/>
          </w:rPr>
          <w:tab/>
        </w:r>
      </w:del>
      <w:del w:id="80" w:author="CMCC-Luyang Zhao" w:date="2025-05-07T15:58:35Z">
        <w:r>
          <w:rPr>
            <w:rFonts w:cs="v5.0.0"/>
          </w:rPr>
          <w:delText>F</w:delText>
        </w:r>
      </w:del>
      <w:del w:id="81" w:author="CMCC-Luyang Zhao" w:date="2025-05-07T15:58:35Z">
        <w:r>
          <w:rPr>
            <w:lang w:eastAsia="zh-CN"/>
          </w:rPr>
          <w:delText>or the carrier including NPSS/NSSS for stand-alone operation, M</w:delText>
        </w:r>
      </w:del>
      <w:del w:id="82" w:author="CMCC-Luyang Zhao" w:date="2025-05-07T15:58:35Z">
        <w:r>
          <w:rPr>
            <w:sz w:val="15"/>
            <w:szCs w:val="15"/>
            <w:lang w:eastAsia="zh-CN"/>
          </w:rPr>
          <w:delText>DL</w:delText>
        </w:r>
      </w:del>
      <w:del w:id="83" w:author="CMCC-Luyang Zhao" w:date="2025-05-07T15:58:35Z">
        <w:r>
          <w:rPr>
            <w:lang w:eastAsia="zh-CN"/>
          </w:rPr>
          <w:delText xml:space="preserve"> = 0.</w:delText>
        </w:r>
      </w:del>
    </w:p>
    <w:p w14:paraId="48DD44ED">
      <w:pPr>
        <w:rPr>
          <w:ins w:id="84" w:author="CMCC-Luyang Zhao" w:date="2025-05-07T15:58:30Z"/>
          <w:rFonts w:cs="v5.0.0"/>
          <w:lang w:eastAsia="zh-TW"/>
        </w:rPr>
      </w:pPr>
      <w:ins w:id="85" w:author="CMCC-Luyang Zhao" w:date="2025-05-07T15:58:30Z">
        <w:bookmarkStart w:id="100" w:name="OLE_LINK23"/>
        <w:bookmarkStart w:id="101" w:name="OLE_LINK75"/>
        <w:bookmarkStart w:id="102" w:name="_Toc194571788"/>
        <w:bookmarkStart w:id="103" w:name="_Toc3666"/>
        <w:bookmarkStart w:id="104" w:name="_Toc2"/>
        <w:bookmarkStart w:id="105" w:name="_Toc3438"/>
        <w:bookmarkStart w:id="106" w:name="_Toc27231"/>
        <w:bookmarkStart w:id="107" w:name="_Toc14339"/>
        <w:bookmarkStart w:id="108" w:name="_Toc10975"/>
        <w:bookmarkStart w:id="109" w:name="_Toc120570020"/>
        <w:bookmarkStart w:id="110" w:name="_Toc121162812"/>
        <w:r>
          <w:rPr>
            <w:rFonts w:cs="v5.0.0"/>
            <w:lang w:eastAsia="zh-TW"/>
          </w:rPr>
          <w:t xml:space="preserve">For </w:t>
        </w:r>
      </w:ins>
      <w:ins w:id="86" w:author="CMCC-Luyang Zhao" w:date="2025-05-07T15:58:30Z">
        <w:r>
          <w:rPr>
            <w:lang w:eastAsia="zh-CN"/>
          </w:rPr>
          <w:t>the carrier including NPSS/NSSS for</w:t>
        </w:r>
      </w:ins>
      <w:ins w:id="87" w:author="CMCC-Luyang Zhao" w:date="2025-05-07T15:58:30Z">
        <w:r>
          <w:rPr>
            <w:rFonts w:cs="v5.0.0"/>
            <w:lang w:eastAsia="zh-TW"/>
          </w:rPr>
          <w:t xml:space="preserve"> stand-alone operation, the </w:t>
        </w:r>
      </w:ins>
      <w:ins w:id="88" w:author="CMCC-Luyang Zhao" w:date="2025-05-07T15:58:30Z">
        <w:r>
          <w:rPr>
            <w:lang w:eastAsia="zh-CN"/>
          </w:rPr>
          <w:t>M</w:t>
        </w:r>
      </w:ins>
      <w:ins w:id="89" w:author="CMCC-Luyang Zhao" w:date="2025-05-07T15:58:30Z">
        <w:r>
          <w:rPr>
            <w:sz w:val="15"/>
            <w:szCs w:val="15"/>
            <w:lang w:eastAsia="zh-CN"/>
          </w:rPr>
          <w:t>DL</w:t>
        </w:r>
      </w:ins>
      <w:ins w:id="90" w:author="CMCC-Luyang Zhao" w:date="2025-05-07T15:58:30Z">
        <w:r>
          <w:rPr>
            <w:lang w:eastAsia="zh-CN"/>
          </w:rPr>
          <w:t xml:space="preserve"> = 0 is used.</w:t>
        </w:r>
      </w:ins>
    </w:p>
    <w:bookmarkEnd w:id="100"/>
    <w:bookmarkEnd w:id="101"/>
    <w:p w14:paraId="72FCA9DB">
      <w:pPr>
        <w:rPr>
          <w:ins w:id="91" w:author="CMCC-Luyang Zhao" w:date="2025-05-07T15:58:30Z"/>
        </w:rPr>
      </w:pPr>
      <w:ins w:id="92" w:author="CMCC-Luyang Zhao" w:date="2025-05-07T15:58:30Z">
        <w:r>
          <w:rPr/>
          <w:t>In Rel-18, UE is only required to support the same operation mode for anchor and non-anchor carriers.</w:t>
        </w:r>
      </w:ins>
    </w:p>
    <w:p w14:paraId="76F6CE9D">
      <w:pPr>
        <w:pStyle w:val="5"/>
        <w:rPr>
          <w:ins w:id="93" w:author="CMCC-Luyang Zhao" w:date="2025-05-07T15:58:30Z"/>
        </w:rPr>
      </w:pPr>
      <w:ins w:id="94" w:author="CMCC-Luyang Zhao" w:date="2025-05-07T15:58:30Z">
        <w:r>
          <w:rPr/>
          <w:t>5.4B.2.3</w:t>
        </w:r>
      </w:ins>
      <w:ins w:id="95" w:author="CMCC-Luyang Zhao" w:date="2025-05-07T15:58:30Z">
        <w:r>
          <w:rPr/>
          <w:tab/>
        </w:r>
      </w:ins>
      <w:ins w:id="96" w:author="CMCC-Luyang Zhao" w:date="2025-05-07T15:58:30Z">
        <w:r>
          <w:rPr/>
          <w:t>In-band operation</w:t>
        </w:r>
      </w:ins>
    </w:p>
    <w:p w14:paraId="75614316">
      <w:pPr>
        <w:rPr>
          <w:ins w:id="97" w:author="CMCC-Luyang Zhao" w:date="2025-05-07T15:58:30Z"/>
          <w:lang w:eastAsia="zh-TW"/>
        </w:rPr>
      </w:pPr>
      <w:ins w:id="98" w:author="CMCC-Luyang Zhao" w:date="2025-05-07T15:58:30Z">
        <w:bookmarkStart w:id="111" w:name="OLE_LINK9"/>
        <w:bookmarkStart w:id="112" w:name="OLE_LINK7"/>
        <w:bookmarkStart w:id="113" w:name="OLE_LINK59"/>
        <w:r>
          <w:rPr>
            <w:lang w:eastAsia="zh-TW"/>
          </w:rPr>
          <w:t xml:space="preserve">In Rel-18, NTN NB-IoT UEs may optionally support in-band operation with NR NTN. </w:t>
        </w:r>
      </w:ins>
    </w:p>
    <w:bookmarkEnd w:id="111"/>
    <w:bookmarkEnd w:id="112"/>
    <w:p w14:paraId="2F578C1E">
      <w:pPr>
        <w:rPr>
          <w:ins w:id="99" w:author="CMCC-Luyang Zhao" w:date="2025-05-07T15:58:30Z"/>
          <w:lang w:val="en-US" w:eastAsia="zh-TW"/>
        </w:rPr>
      </w:pPr>
      <w:ins w:id="100" w:author="CMCC-Luyang Zhao" w:date="2025-05-07T15:58:30Z">
        <w:r>
          <w:rPr/>
          <w:t>The relation between EARFCN, Offset of category NB1/NB2 Channel Number to EARFCN and the carrier frequency in MHz for the downlink is given by the following equation, where F</w:t>
        </w:r>
      </w:ins>
      <w:ins w:id="101" w:author="CMCC-Luyang Zhao" w:date="2025-05-07T15:58:30Z">
        <w:r>
          <w:rPr>
            <w:vertAlign w:val="subscript"/>
          </w:rPr>
          <w:t>DL</w:t>
        </w:r>
      </w:ins>
      <w:ins w:id="102" w:author="CMCC-Luyang Zhao" w:date="2025-05-07T15:58:30Z">
        <w:r>
          <w:rPr/>
          <w:t xml:space="preserve"> is the downlink carrier frequency of category NB1/NB2, F</w:t>
        </w:r>
      </w:ins>
      <w:ins w:id="103" w:author="CMCC-Luyang Zhao" w:date="2025-05-07T15:58:30Z">
        <w:r>
          <w:rPr>
            <w:vertAlign w:val="subscript"/>
          </w:rPr>
          <w:t>DL_low</w:t>
        </w:r>
      </w:ins>
      <w:ins w:id="104" w:author="CMCC-Luyang Zhao" w:date="2025-05-07T15:58:30Z">
        <w:r>
          <w:rPr/>
          <w:t xml:space="preserve"> and N</w:t>
        </w:r>
      </w:ins>
      <w:ins w:id="105" w:author="CMCC-Luyang Zhao" w:date="2025-05-07T15:58:30Z">
        <w:r>
          <w:rPr>
            <w:vertAlign w:val="subscript"/>
          </w:rPr>
          <w:t>Offs-DL</w:t>
        </w:r>
      </w:ins>
      <w:ins w:id="106" w:author="CMCC-Luyang Zhao" w:date="2025-05-07T15:58:30Z">
        <w:r>
          <w:rPr/>
          <w:t xml:space="preserve"> are given in table 5.4A.2-1, N</w:t>
        </w:r>
      </w:ins>
      <w:ins w:id="107" w:author="CMCC-Luyang Zhao" w:date="2025-05-07T15:58:30Z">
        <w:r>
          <w:rPr>
            <w:vertAlign w:val="subscript"/>
          </w:rPr>
          <w:t>DL</w:t>
        </w:r>
      </w:ins>
      <w:ins w:id="108" w:author="CMCC-Luyang Zhao" w:date="2025-05-07T15:58:30Z">
        <w:r>
          <w:rPr/>
          <w:t xml:space="preserve"> is the downlink EARFCN, M</w:t>
        </w:r>
      </w:ins>
      <w:ins w:id="109" w:author="CMCC-Luyang Zhao" w:date="2025-05-07T15:58:30Z">
        <w:r>
          <w:rPr>
            <w:vertAlign w:val="subscript"/>
          </w:rPr>
          <w:t xml:space="preserve">DL </w:t>
        </w:r>
      </w:ins>
      <w:ins w:id="110" w:author="CMCC-Luyang Zhao" w:date="2025-05-07T15:58:30Z">
        <w:r>
          <w:rPr/>
          <w:t>is the Offset of category NB1/NB2 Channel Number to downlink EARFCN.</w:t>
        </w:r>
      </w:ins>
    </w:p>
    <w:p w14:paraId="4CA72EBE">
      <w:pPr>
        <w:pStyle w:val="64"/>
        <w:spacing w:after="240"/>
        <w:jc w:val="center"/>
        <w:rPr>
          <w:ins w:id="111" w:author="CMCC-Luyang Zhao" w:date="2025-05-07T15:58:30Z"/>
          <w:rFonts w:eastAsia="宋体"/>
        </w:rPr>
      </w:pPr>
      <w:ins w:id="112" w:author="CMCC-Luyang Zhao" w:date="2025-05-07T15:58:30Z">
        <w:r>
          <w:rPr/>
          <w:t>F</w:t>
        </w:r>
      </w:ins>
      <w:ins w:id="113" w:author="CMCC-Luyang Zhao" w:date="2025-05-07T15:58:30Z">
        <w:r>
          <w:rPr>
            <w:vertAlign w:val="subscript"/>
          </w:rPr>
          <w:t>DL</w:t>
        </w:r>
      </w:ins>
      <w:ins w:id="114" w:author="CMCC-Luyang Zhao" w:date="2025-05-07T15:58:30Z">
        <w:r>
          <w:rPr/>
          <w:t xml:space="preserve"> = F</w:t>
        </w:r>
      </w:ins>
      <w:ins w:id="115" w:author="CMCC-Luyang Zhao" w:date="2025-05-07T15:58:30Z">
        <w:r>
          <w:rPr>
            <w:vertAlign w:val="subscript"/>
          </w:rPr>
          <w:t>DL_low</w:t>
        </w:r>
      </w:ins>
      <w:ins w:id="116" w:author="CMCC-Luyang Zhao" w:date="2025-05-07T15:58:30Z">
        <w:r>
          <w:rPr/>
          <w:t xml:space="preserve"> + 0.1(N</w:t>
        </w:r>
      </w:ins>
      <w:ins w:id="117" w:author="CMCC-Luyang Zhao" w:date="2025-05-07T15:58:30Z">
        <w:r>
          <w:rPr>
            <w:vertAlign w:val="subscript"/>
          </w:rPr>
          <w:t>DL</w:t>
        </w:r>
      </w:ins>
      <w:ins w:id="118" w:author="CMCC-Luyang Zhao" w:date="2025-05-07T15:58:30Z">
        <w:r>
          <w:rPr/>
          <w:t xml:space="preserve"> – N</w:t>
        </w:r>
      </w:ins>
      <w:ins w:id="119" w:author="CMCC-Luyang Zhao" w:date="2025-05-07T15:58:30Z">
        <w:r>
          <w:rPr>
            <w:vertAlign w:val="subscript"/>
          </w:rPr>
          <w:t>Offs-DL</w:t>
        </w:r>
      </w:ins>
      <w:ins w:id="120" w:author="CMCC-Luyang Zhao" w:date="2025-05-07T15:58:30Z">
        <w:r>
          <w:rPr/>
          <w:t>)</w:t>
        </w:r>
      </w:ins>
      <w:ins w:id="121" w:author="CMCC-Luyang Zhao" w:date="2025-05-07T15:58:30Z">
        <w:r>
          <w:rPr>
            <w:rFonts w:eastAsia="宋体"/>
          </w:rPr>
          <w:t xml:space="preserve"> + 0.0025*(2M</w:t>
        </w:r>
      </w:ins>
      <w:ins w:id="122" w:author="CMCC-Luyang Zhao" w:date="2025-05-07T15:58:30Z">
        <w:r>
          <w:rPr>
            <w:rFonts w:eastAsia="宋体"/>
            <w:vertAlign w:val="subscript"/>
          </w:rPr>
          <w:t>DL</w:t>
        </w:r>
      </w:ins>
      <w:ins w:id="123" w:author="CMCC-Luyang Zhao" w:date="2025-05-07T15:58:30Z">
        <w:r>
          <w:rPr>
            <w:lang w:eastAsia="zh-CN"/>
          </w:rPr>
          <w:t>+1</w:t>
        </w:r>
      </w:ins>
      <w:ins w:id="124" w:author="CMCC-Luyang Zhao" w:date="2025-05-07T15:58:30Z">
        <w:r>
          <w:rPr>
            <w:rFonts w:eastAsia="宋体"/>
          </w:rPr>
          <w:t>)</w:t>
        </w:r>
      </w:ins>
    </w:p>
    <w:p w14:paraId="44B912AE">
      <w:pPr>
        <w:rPr>
          <w:ins w:id="125" w:author="CMCC-Luyang Zhao" w:date="2025-05-07T15:58:30Z"/>
        </w:rPr>
      </w:pPr>
      <w:ins w:id="126" w:author="CMCC-Luyang Zhao" w:date="2025-05-07T15:58:30Z">
        <w:r>
          <w:rPr/>
          <w:t>The relation between EARFCN, Offset of category NB1/NB2 Channel Number to EARFCN and the carrier frequency in MHz for the uplink is given by the following equation, where F</w:t>
        </w:r>
      </w:ins>
      <w:ins w:id="127" w:author="CMCC-Luyang Zhao" w:date="2025-05-07T15:58:30Z">
        <w:r>
          <w:rPr>
            <w:vertAlign w:val="subscript"/>
          </w:rPr>
          <w:t>UL</w:t>
        </w:r>
      </w:ins>
      <w:ins w:id="128" w:author="CMCC-Luyang Zhao" w:date="2025-05-07T15:58:30Z">
        <w:r>
          <w:rPr/>
          <w:t xml:space="preserve"> is the uplink carrier frequency of category NB1/NB2, F</w:t>
        </w:r>
      </w:ins>
      <w:ins w:id="129" w:author="CMCC-Luyang Zhao" w:date="2025-05-07T15:58:30Z">
        <w:r>
          <w:rPr>
            <w:vertAlign w:val="subscript"/>
          </w:rPr>
          <w:t>UL_low</w:t>
        </w:r>
      </w:ins>
      <w:ins w:id="130" w:author="CMCC-Luyang Zhao" w:date="2025-05-07T15:58:30Z">
        <w:r>
          <w:rPr/>
          <w:t xml:space="preserve"> and N</w:t>
        </w:r>
      </w:ins>
      <w:ins w:id="131" w:author="CMCC-Luyang Zhao" w:date="2025-05-07T15:58:30Z">
        <w:r>
          <w:rPr>
            <w:vertAlign w:val="subscript"/>
          </w:rPr>
          <w:t>Offs-UL</w:t>
        </w:r>
      </w:ins>
      <w:ins w:id="132" w:author="CMCC-Luyang Zhao" w:date="2025-05-07T15:58:30Z">
        <w:r>
          <w:rPr/>
          <w:t xml:space="preserve"> are given in table 5.4</w:t>
        </w:r>
      </w:ins>
      <w:ins w:id="133" w:author="CMCC-Luyang Zhao" w:date="2025-05-07T15:58:30Z">
        <w:r>
          <w:rPr>
            <w:lang w:eastAsia="zh-TW"/>
          </w:rPr>
          <w:t>A</w:t>
        </w:r>
      </w:ins>
      <w:ins w:id="134" w:author="CMCC-Luyang Zhao" w:date="2025-05-07T15:58:30Z">
        <w:r>
          <w:rPr/>
          <w:t>.2-1, N</w:t>
        </w:r>
      </w:ins>
      <w:ins w:id="135" w:author="CMCC-Luyang Zhao" w:date="2025-05-07T15:58:30Z">
        <w:r>
          <w:rPr>
            <w:vertAlign w:val="subscript"/>
          </w:rPr>
          <w:t>UL</w:t>
        </w:r>
      </w:ins>
      <w:ins w:id="136" w:author="CMCC-Luyang Zhao" w:date="2025-05-07T15:58:30Z">
        <w:r>
          <w:rPr/>
          <w:t xml:space="preserve"> is the uplink EARFCN, M</w:t>
        </w:r>
      </w:ins>
      <w:ins w:id="137" w:author="CMCC-Luyang Zhao" w:date="2025-05-07T15:58:30Z">
        <w:r>
          <w:rPr>
            <w:vertAlign w:val="subscript"/>
          </w:rPr>
          <w:t xml:space="preserve">UL </w:t>
        </w:r>
      </w:ins>
      <w:ins w:id="138" w:author="CMCC-Luyang Zhao" w:date="2025-05-07T15:58:30Z">
        <w:r>
          <w:rPr/>
          <w:t>is the Offset of category NB1/NB2 Channel Number to uplink EARFCN.</w:t>
        </w:r>
      </w:ins>
    </w:p>
    <w:p w14:paraId="0B0E6705">
      <w:pPr>
        <w:pStyle w:val="64"/>
        <w:rPr>
          <w:ins w:id="139" w:author="CMCC-Luyang Zhao" w:date="2025-05-07T15:58:30Z"/>
          <w:rFonts w:eastAsia="宋体"/>
          <w:lang w:eastAsia="zh-CN"/>
        </w:rPr>
      </w:pPr>
      <w:ins w:id="140" w:author="CMCC-Luyang Zhao" w:date="2025-05-07T15:58:30Z">
        <w:r>
          <w:rPr/>
          <w:tab/>
        </w:r>
      </w:ins>
      <w:ins w:id="141" w:author="CMCC-Luyang Zhao" w:date="2025-05-07T15:58:30Z">
        <w:r>
          <w:rPr/>
          <w:t>F</w:t>
        </w:r>
      </w:ins>
      <w:ins w:id="142" w:author="CMCC-Luyang Zhao" w:date="2025-05-07T15:58:30Z">
        <w:r>
          <w:rPr>
            <w:vertAlign w:val="subscript"/>
          </w:rPr>
          <w:t>UL</w:t>
        </w:r>
      </w:ins>
      <w:ins w:id="143" w:author="CMCC-Luyang Zhao" w:date="2025-05-07T15:58:30Z">
        <w:r>
          <w:rPr/>
          <w:t xml:space="preserve"> = F</w:t>
        </w:r>
      </w:ins>
      <w:ins w:id="144" w:author="CMCC-Luyang Zhao" w:date="2025-05-07T15:58:30Z">
        <w:r>
          <w:rPr>
            <w:vertAlign w:val="subscript"/>
          </w:rPr>
          <w:t>UL_low</w:t>
        </w:r>
      </w:ins>
      <w:ins w:id="145" w:author="CMCC-Luyang Zhao" w:date="2025-05-07T15:58:30Z">
        <w:r>
          <w:rPr/>
          <w:t xml:space="preserve"> + 0.1(N</w:t>
        </w:r>
      </w:ins>
      <w:ins w:id="146" w:author="CMCC-Luyang Zhao" w:date="2025-05-07T15:58:30Z">
        <w:r>
          <w:rPr>
            <w:vertAlign w:val="subscript"/>
          </w:rPr>
          <w:t>UL</w:t>
        </w:r>
      </w:ins>
      <w:ins w:id="147" w:author="CMCC-Luyang Zhao" w:date="2025-05-07T15:58:30Z">
        <w:r>
          <w:rPr/>
          <w:t xml:space="preserve"> – N</w:t>
        </w:r>
      </w:ins>
      <w:ins w:id="148" w:author="CMCC-Luyang Zhao" w:date="2025-05-07T15:58:30Z">
        <w:r>
          <w:rPr>
            <w:vertAlign w:val="subscript"/>
          </w:rPr>
          <w:t>Offs-UL</w:t>
        </w:r>
      </w:ins>
      <w:ins w:id="149" w:author="CMCC-Luyang Zhao" w:date="2025-05-07T15:58:30Z">
        <w:r>
          <w:rPr/>
          <w:t>) + 0.0025*(2M</w:t>
        </w:r>
      </w:ins>
      <w:ins w:id="150" w:author="CMCC-Luyang Zhao" w:date="2025-05-07T15:58:30Z">
        <w:r>
          <w:rPr>
            <w:vertAlign w:val="subscript"/>
          </w:rPr>
          <w:t>UL</w:t>
        </w:r>
      </w:ins>
      <w:ins w:id="151" w:author="CMCC-Luyang Zhao" w:date="2025-05-07T15:58:30Z">
        <w:r>
          <w:rPr>
            <w:lang w:eastAsia="zh-CN"/>
          </w:rPr>
          <w:t>)</w:t>
        </w:r>
      </w:ins>
    </w:p>
    <w:bookmarkEnd w:id="113"/>
    <w:p w14:paraId="4292DB12">
      <w:pPr>
        <w:rPr>
          <w:ins w:id="152" w:author="CMCC-Luyang Zhao" w:date="2025-05-07T15:58:30Z"/>
        </w:rPr>
      </w:pPr>
      <w:ins w:id="153" w:author="CMCC-Luyang Zhao" w:date="2025-05-07T15:58:30Z">
        <w:r>
          <w:rPr/>
          <w:t>For the carrier including NPSS/NSSS, M</w:t>
        </w:r>
      </w:ins>
      <w:ins w:id="154" w:author="CMCC-Luyang Zhao" w:date="2025-05-07T15:58:30Z">
        <w:r>
          <w:rPr>
            <w:vertAlign w:val="subscript"/>
          </w:rPr>
          <w:t>DL</w:t>
        </w:r>
      </w:ins>
      <w:ins w:id="155" w:author="CMCC-Luyang Zhao" w:date="2025-05-07T15:58:30Z">
        <w:r>
          <w:rPr/>
          <w:t xml:space="preserve"> is selected from {-2,-1,0,1}. For in-band operations, M</w:t>
        </w:r>
      </w:ins>
      <w:ins w:id="156" w:author="CMCC-Luyang Zhao" w:date="2025-05-07T15:58:30Z">
        <w:r>
          <w:rPr>
            <w:vertAlign w:val="subscript"/>
          </w:rPr>
          <w:t>DL</w:t>
        </w:r>
      </w:ins>
      <w:ins w:id="157" w:author="CMCC-Luyang Zhao" w:date="2025-05-07T15:58:30Z">
        <w:r>
          <w:rPr/>
          <w:t xml:space="preserve"> = -0.5 is not applicable.</w:t>
        </w:r>
      </w:ins>
    </w:p>
    <w:p w14:paraId="16EB1A7B">
      <w:pPr>
        <w:rPr>
          <w:ins w:id="158" w:author="CMCC-Luyang Zhao" w:date="2025-05-07T15:58:30Z"/>
        </w:rPr>
      </w:pPr>
      <w:ins w:id="159" w:author="CMCC-Luyang Zhao" w:date="2025-05-07T15:58:30Z">
        <w:bookmarkStart w:id="114" w:name="OLE_LINK89"/>
        <w:bookmarkStart w:id="115" w:name="OLE_LINK15"/>
        <w:r>
          <w:rPr/>
          <w:t>In Rel-18, UE is only required to support the same operation mode for anchor and non-anchor carriers</w:t>
        </w:r>
        <w:bookmarkEnd w:id="114"/>
        <w:bookmarkStart w:id="116" w:name="OLE_LINK10"/>
        <w:r>
          <w:rPr/>
          <w:t>.</w:t>
        </w:r>
      </w:ins>
    </w:p>
    <w:bookmarkEnd w:id="115"/>
    <w:p w14:paraId="5463AB76">
      <w:pPr>
        <w:pStyle w:val="58"/>
        <w:rPr>
          <w:ins w:id="160" w:author="CMCC-Luyang Zhao" w:date="2025-05-07T15:58:30Z"/>
        </w:rPr>
      </w:pPr>
      <w:ins w:id="161" w:author="CMCC-Luyang Zhao" w:date="2025-05-07T15:58:30Z">
        <w:r>
          <w:rPr/>
          <w:t>NOTE 1:</w:t>
        </w:r>
      </w:ins>
      <w:ins w:id="162" w:author="CMCC-Luyang Zhao" w:date="2025-05-07T15:58:30Z">
        <w:r>
          <w:rPr/>
          <w:tab/>
        </w:r>
      </w:ins>
      <w:ins w:id="163" w:author="CMCC-Luyang Zhao" w:date="2025-05-07T15:58:30Z">
        <w:r>
          <w:rPr/>
          <w:t>For in-band operation, RRC signalling should indicate guardband-r13 in operationModeInfo IE in MasterInformationBlock-NB during UE conformance tests.</w:t>
        </w:r>
      </w:ins>
    </w:p>
    <w:p w14:paraId="0EB5B259">
      <w:pPr>
        <w:pStyle w:val="58"/>
        <w:rPr>
          <w:ins w:id="164" w:author="CMCC-Luyang Zhao" w:date="2025-05-07T15:58:30Z"/>
        </w:rPr>
      </w:pPr>
      <w:ins w:id="165" w:author="CMCC-Luyang Zhao" w:date="2025-05-07T15:58:30Z">
        <w:r>
          <w:rPr/>
          <w:t>NOTE 2:</w:t>
        </w:r>
        <w:bookmarkEnd w:id="116"/>
      </w:ins>
      <w:ins w:id="166" w:author="CMCC-Luyang Zhao" w:date="2025-05-07T15:58:30Z">
        <w:r>
          <w:rPr/>
          <w:tab/>
        </w:r>
      </w:ins>
      <w:ins w:id="167" w:author="CMCC-Luyang Zhao" w:date="2025-05-07T15:58:30Z">
        <w:r>
          <w:rPr/>
          <w:t>In Rel-18, for in-band operation, UE is not expected to access a cell indicating inband-SamePCI or inband-DifferentPCI in operationMode IE in MasterInformationBlock-NB.</w:t>
        </w:r>
      </w:ins>
    </w:p>
    <w:p w14:paraId="793E5257">
      <w:pPr>
        <w:pStyle w:val="58"/>
        <w:rPr>
          <w:ins w:id="168" w:author="CMCC-Luyang Zhao" w:date="2025-05-07T15:58:30Z"/>
        </w:rPr>
      </w:pPr>
      <w:ins w:id="169" w:author="CMCC-Luyang Zhao" w:date="2025-05-07T15:58:30Z">
        <w:r>
          <w:rPr/>
          <w:t>NOTE 3:</w:t>
        </w:r>
      </w:ins>
      <w:ins w:id="170" w:author="CMCC-Luyang Zhao" w:date="2025-05-07T15:58:30Z">
        <w:r>
          <w:rPr/>
          <w:tab/>
        </w:r>
      </w:ins>
      <w:ins w:id="171" w:author="CMCC-Luyang Zhao" w:date="2025-05-07T15:58:30Z">
        <w:r>
          <w:rPr/>
          <w:t>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w:t>
        </w:r>
      </w:ins>
    </w:p>
    <w:p w14:paraId="6E2D6F3B">
      <w:pPr>
        <w:pStyle w:val="4"/>
      </w:pPr>
      <w:r>
        <w:t>5.4B.3</w:t>
      </w:r>
      <w:r>
        <w:tab/>
      </w:r>
      <w:r>
        <w:t>TX–RX frequency separation</w:t>
      </w:r>
      <w:bookmarkEnd w:id="102"/>
      <w:bookmarkEnd w:id="103"/>
      <w:bookmarkEnd w:id="104"/>
      <w:bookmarkEnd w:id="105"/>
      <w:bookmarkEnd w:id="106"/>
      <w:bookmarkEnd w:id="107"/>
      <w:bookmarkEnd w:id="108"/>
      <w:bookmarkEnd w:id="109"/>
      <w:bookmarkEnd w:id="110"/>
      <w:r>
        <w:t xml:space="preserve"> </w:t>
      </w:r>
    </w:p>
    <w:p w14:paraId="60111175">
      <w:pPr>
        <w:rPr>
          <w:color w:val="376092" w:themeColor="accent1" w:themeShade="BF"/>
          <w:lang w:eastAsia="zh-TW"/>
        </w:rPr>
      </w:pPr>
      <w:r>
        <w:t xml:space="preserve">For UE category NB1/NB2 operation in stand-alone mode, the default TX-RX frequency separation shall be as specified in </w:t>
      </w:r>
      <w:r>
        <w:rPr>
          <w:lang w:eastAsia="zh-CN"/>
        </w:rPr>
        <w:t>Table</w:t>
      </w:r>
      <w:r>
        <w:t xml:space="preserve"> 5.4</w:t>
      </w:r>
      <w:del w:id="172" w:author="CMCC-Luyang Zhao" w:date="2025-05-07T15:23:30Z">
        <w:r>
          <w:rPr>
            <w:rFonts w:hint="default"/>
            <w:lang w:val="en-US"/>
          </w:rPr>
          <w:delText>A</w:delText>
        </w:r>
      </w:del>
      <w:ins w:id="173" w:author="CMCC-Luyang Zhao" w:date="2025-05-07T15:23:30Z">
        <w:r>
          <w:rPr>
            <w:rFonts w:hint="default"/>
            <w:lang w:val="en-US"/>
          </w:rPr>
          <w:t>B</w:t>
        </w:r>
      </w:ins>
      <w:r>
        <w:t>.3-1 for the NB-IoT TX and RX channel bandwidth defined in Table 5.3B-1.</w:t>
      </w:r>
    </w:p>
    <w:p w14:paraId="37DAA3C0">
      <w:pPr>
        <w:rPr>
          <w:ins w:id="174" w:author="CMCC-Luyang Zhao" w:date="2025-05-07T15:58:14Z"/>
        </w:rPr>
      </w:pPr>
      <w:ins w:id="175" w:author="CMCC-Luyang Zhao" w:date="2025-05-07T15:58:14Z">
        <w:bookmarkStart w:id="117" w:name="OLE_LINK70"/>
        <w:bookmarkStart w:id="118" w:name="_Toc120570021"/>
        <w:bookmarkStart w:id="119" w:name="_Toc15207"/>
        <w:bookmarkStart w:id="120" w:name="_Toc121162813"/>
        <w:bookmarkStart w:id="121" w:name="_Toc1029"/>
        <w:bookmarkStart w:id="122" w:name="_Toc25459"/>
        <w:bookmarkStart w:id="123" w:name="_Toc20677"/>
        <w:bookmarkStart w:id="124" w:name="_Toc368026212"/>
        <w:bookmarkStart w:id="125" w:name="_Toc27702"/>
        <w:bookmarkStart w:id="126" w:name="_Toc111062025"/>
        <w:bookmarkStart w:id="127" w:name="_Toc194571789"/>
        <w:bookmarkStart w:id="128" w:name="_Toc32344"/>
        <w:r>
          <w:rPr/>
          <w:t>For in-band operation, the category NB1 and NB2 TX-RX frequency separation is flexible within the assigned channel bandwidth of NR NTN carrier with the TX-RX frequency separation of the NR NTN carriers as specified in TS 38.101-5 [</w:t>
        </w:r>
      </w:ins>
      <w:ins w:id="176" w:author="CMCC-Luyang Zhao" w:date="2025-05-07T15:58:14Z">
        <w:r>
          <w:rPr>
            <w:rFonts w:hint="default"/>
            <w:lang w:val="en-US"/>
          </w:rPr>
          <w:t>23</w:t>
        </w:r>
      </w:ins>
      <w:ins w:id="177" w:author="CMCC-Luyang Zhao" w:date="2025-05-07T15:58:14Z">
        <w:r>
          <w:rPr/>
          <w:t>].</w:t>
        </w:r>
      </w:ins>
    </w:p>
    <w:p w14:paraId="151FBDE0">
      <w:pPr>
        <w:pStyle w:val="57"/>
        <w:rPr>
          <w:ins w:id="178" w:author="CMCC-Luyang Zhao" w:date="2025-05-07T15:23:40Z"/>
        </w:rPr>
      </w:pPr>
      <w:ins w:id="179" w:author="CMCC-Luyang Zhao" w:date="2025-05-07T15:23:40Z">
        <w:r>
          <w:rPr/>
          <w:t>Table 5.4B.3-1: Default UE TX-RX frequency separation</w:t>
        </w:r>
      </w:ins>
    </w:p>
    <w:bookmarkEnd w:id="117"/>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14:paraId="5C45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80" w:author="CMCC-Luyang Zhao" w:date="2025-05-07T15:27:06Z"/>
        </w:trPr>
        <w:tc>
          <w:tcPr>
            <w:tcW w:w="2817" w:type="dxa"/>
          </w:tcPr>
          <w:p w14:paraId="563F2EAB">
            <w:pPr>
              <w:pStyle w:val="53"/>
              <w:rPr>
                <w:ins w:id="181" w:author="CMCC-Luyang Zhao" w:date="2025-05-07T15:27:06Z"/>
                <w:rFonts w:cs="Arial"/>
              </w:rPr>
            </w:pPr>
            <w:ins w:id="182" w:author="CMCC-Luyang Zhao" w:date="2025-05-07T15:27:06Z">
              <w:r>
                <w:rPr>
                  <w:rFonts w:cs="Arial"/>
                </w:rPr>
                <w:t>E-UTRA Operating Band</w:t>
              </w:r>
            </w:ins>
          </w:p>
        </w:tc>
        <w:tc>
          <w:tcPr>
            <w:tcW w:w="2693" w:type="dxa"/>
          </w:tcPr>
          <w:p w14:paraId="50EE2D1D">
            <w:pPr>
              <w:pStyle w:val="53"/>
              <w:rPr>
                <w:ins w:id="183" w:author="CMCC-Luyang Zhao" w:date="2025-05-07T15:27:06Z"/>
                <w:rFonts w:cs="Arial"/>
              </w:rPr>
            </w:pPr>
            <w:ins w:id="184" w:author="CMCC-Luyang Zhao" w:date="2025-05-07T15:27:06Z">
              <w:r>
                <w:rPr>
                  <w:rFonts w:cs="Arial"/>
                </w:rPr>
                <w:t xml:space="preserve">TX </w:t>
              </w:r>
            </w:ins>
            <w:ins w:id="185" w:author="CMCC-Luyang Zhao" w:date="2025-05-07T15:27:06Z">
              <w:r>
                <w:rPr>
                  <w:rFonts w:cs="v5.0.0"/>
                </w:rPr>
                <w:t>–</w:t>
              </w:r>
            </w:ins>
            <w:ins w:id="186" w:author="CMCC-Luyang Zhao" w:date="2025-05-07T15:27:06Z">
              <w:r>
                <w:rPr>
                  <w:rFonts w:cs="Arial"/>
                </w:rPr>
                <w:t xml:space="preserve"> RX </w:t>
              </w:r>
            </w:ins>
            <w:ins w:id="187" w:author="CMCC-Luyang Zhao" w:date="2025-05-07T15:27:06Z">
              <w:r>
                <w:rPr>
                  <w:rFonts w:cs="Arial"/>
                </w:rPr>
                <w:br w:type="textWrapping"/>
              </w:r>
            </w:ins>
            <w:ins w:id="188" w:author="CMCC-Luyang Zhao" w:date="2025-05-07T15:27:06Z">
              <w:r>
                <w:rPr>
                  <w:rFonts w:cs="Arial"/>
                </w:rPr>
                <w:t>carrier centre frequency</w:t>
              </w:r>
            </w:ins>
            <w:ins w:id="189" w:author="CMCC-Luyang Zhao" w:date="2025-05-07T15:27:06Z">
              <w:r>
                <w:rPr>
                  <w:rFonts w:cs="Arial"/>
                </w:rPr>
                <w:br w:type="textWrapping"/>
              </w:r>
            </w:ins>
            <w:ins w:id="190" w:author="CMCC-Luyang Zhao" w:date="2025-05-07T15:27:06Z">
              <w:r>
                <w:rPr>
                  <w:rFonts w:cs="Arial"/>
                </w:rPr>
                <w:t>separation</w:t>
              </w:r>
            </w:ins>
          </w:p>
        </w:tc>
      </w:tr>
      <w:tr w14:paraId="0522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 w:author="CMCC-Luyang Zhao" w:date="2025-05-07T15:27:06Z"/>
        </w:trPr>
        <w:tc>
          <w:tcPr>
            <w:tcW w:w="2817" w:type="dxa"/>
          </w:tcPr>
          <w:p w14:paraId="72571B2D">
            <w:pPr>
              <w:pStyle w:val="54"/>
              <w:rPr>
                <w:ins w:id="192" w:author="CMCC-Luyang Zhao" w:date="2025-05-07T15:27:06Z"/>
                <w:rFonts w:cs="Arial"/>
              </w:rPr>
            </w:pPr>
            <w:ins w:id="193" w:author="CMCC-Luyang Zhao" w:date="2025-05-07T15:27:06Z">
              <w:r>
                <w:rPr>
                  <w:rFonts w:cs="Arial"/>
                </w:rPr>
                <w:t>256</w:t>
              </w:r>
            </w:ins>
          </w:p>
        </w:tc>
        <w:tc>
          <w:tcPr>
            <w:tcW w:w="2693" w:type="dxa"/>
          </w:tcPr>
          <w:p w14:paraId="12BA73B4">
            <w:pPr>
              <w:pStyle w:val="54"/>
              <w:rPr>
                <w:ins w:id="194" w:author="CMCC-Luyang Zhao" w:date="2025-05-07T15:27:06Z"/>
                <w:rFonts w:eastAsia="PMingLiU" w:cs="Arial"/>
                <w:lang w:eastAsia="zh-TW"/>
              </w:rPr>
            </w:pPr>
            <w:ins w:id="195" w:author="CMCC-Luyang Zhao" w:date="2025-05-07T15:27:06Z">
              <w:r>
                <w:rPr>
                  <w:rFonts w:cs="Arial"/>
                </w:rPr>
                <w:t>190 MHz</w:t>
              </w:r>
            </w:ins>
            <w:ins w:id="196" w:author="CMCC-Luyang Zhao" w:date="2025-05-07T15:27:06Z">
              <w:r>
                <w:rPr>
                  <w:rFonts w:hint="eastAsia" w:eastAsia="PMingLiU" w:cs="Arial"/>
                  <w:vertAlign w:val="superscript"/>
                  <w:lang w:eastAsia="zh-TW"/>
                </w:rPr>
                <w:t>1</w:t>
              </w:r>
            </w:ins>
          </w:p>
          <w:p w14:paraId="15F578AA">
            <w:pPr>
              <w:pStyle w:val="54"/>
              <w:rPr>
                <w:ins w:id="197" w:author="CMCC-Luyang Zhao" w:date="2025-05-07T15:27:06Z"/>
                <w:rFonts w:cs="Arial"/>
              </w:rPr>
            </w:pPr>
            <w:ins w:id="198" w:author="CMCC-Luyang Zhao" w:date="2025-05-07T15:27:06Z">
              <w:r>
                <w:rPr>
                  <w:rFonts w:cs="Arial"/>
                  <w:lang w:val="en-US" w:eastAsia="zh-CN"/>
                </w:rPr>
                <w:t>160.2 to 219.8 MHz</w:t>
              </w:r>
            </w:ins>
            <w:ins w:id="199" w:author="CMCC-Luyang Zhao" w:date="2025-05-07T15:27:06Z">
              <w:r>
                <w:rPr>
                  <w:rFonts w:cs="Arial"/>
                  <w:vertAlign w:val="superscript"/>
                  <w:lang w:val="en-US" w:eastAsia="zh-CN"/>
                </w:rPr>
                <w:t>2</w:t>
              </w:r>
            </w:ins>
          </w:p>
        </w:tc>
      </w:tr>
      <w:tr w14:paraId="2B23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 w:author="CMCC-Luyang Zhao" w:date="2025-05-07T15:27:06Z"/>
        </w:trPr>
        <w:tc>
          <w:tcPr>
            <w:tcW w:w="2817" w:type="dxa"/>
          </w:tcPr>
          <w:p w14:paraId="2453E52F">
            <w:pPr>
              <w:pStyle w:val="54"/>
              <w:rPr>
                <w:ins w:id="201" w:author="CMCC-Luyang Zhao" w:date="2025-05-07T15:27:06Z"/>
                <w:rFonts w:cs="Arial"/>
              </w:rPr>
            </w:pPr>
            <w:ins w:id="202" w:author="CMCC-Luyang Zhao" w:date="2025-05-07T15:27:06Z">
              <w:r>
                <w:rPr>
                  <w:rFonts w:cs="Arial"/>
                </w:rPr>
                <w:t>255</w:t>
              </w:r>
            </w:ins>
          </w:p>
        </w:tc>
        <w:tc>
          <w:tcPr>
            <w:tcW w:w="2693" w:type="dxa"/>
          </w:tcPr>
          <w:p w14:paraId="418BFBEA">
            <w:pPr>
              <w:pStyle w:val="54"/>
              <w:rPr>
                <w:ins w:id="203" w:author="CMCC-Luyang Zhao" w:date="2025-05-07T15:27:06Z"/>
                <w:rFonts w:cs="Arial"/>
              </w:rPr>
            </w:pPr>
            <w:ins w:id="204" w:author="CMCC-Luyang Zhao" w:date="2025-05-07T15:27:06Z">
              <w:r>
                <w:rPr>
                  <w:rFonts w:cs="Arial"/>
                </w:rPr>
                <w:t>-101.5 MHz</w:t>
              </w:r>
            </w:ins>
            <w:ins w:id="205" w:author="CMCC-Luyang Zhao" w:date="2025-05-07T15:27:06Z">
              <w:r>
                <w:rPr>
                  <w:rFonts w:cs="Arial"/>
                  <w:vertAlign w:val="superscript"/>
                </w:rPr>
                <w:t>1</w:t>
              </w:r>
            </w:ins>
          </w:p>
          <w:p w14:paraId="324C108F">
            <w:pPr>
              <w:pStyle w:val="54"/>
              <w:rPr>
                <w:ins w:id="206" w:author="CMCC-Luyang Zhao" w:date="2025-05-07T15:27:06Z"/>
                <w:rFonts w:cs="Arial"/>
              </w:rPr>
            </w:pPr>
            <w:ins w:id="207" w:author="CMCC-Luyang Zhao" w:date="2025-05-07T15:27:06Z">
              <w:r>
                <w:rPr>
                  <w:rFonts w:cs="Arial"/>
                  <w:lang w:val="en-US" w:eastAsia="zh-CN"/>
                </w:rPr>
                <w:t>-67.7 to -135.3 MHz</w:t>
              </w:r>
            </w:ins>
            <w:ins w:id="208" w:author="CMCC-Luyang Zhao" w:date="2025-05-07T15:27:06Z">
              <w:r>
                <w:rPr>
                  <w:rFonts w:cs="Arial"/>
                  <w:vertAlign w:val="superscript"/>
                  <w:lang w:val="en-US" w:eastAsia="zh-CN"/>
                </w:rPr>
                <w:t>2</w:t>
              </w:r>
            </w:ins>
          </w:p>
        </w:tc>
      </w:tr>
      <w:tr w14:paraId="69C0D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 w:author="CMCC-Luyang Zhao" w:date="2025-05-07T15:27:06Z"/>
        </w:trPr>
        <w:tc>
          <w:tcPr>
            <w:tcW w:w="2817" w:type="dxa"/>
          </w:tcPr>
          <w:p w14:paraId="1E75C2D0">
            <w:pPr>
              <w:pStyle w:val="54"/>
              <w:rPr>
                <w:ins w:id="210" w:author="CMCC-Luyang Zhao" w:date="2025-05-07T15:27:06Z"/>
                <w:rFonts w:cs="Arial"/>
              </w:rPr>
            </w:pPr>
            <w:ins w:id="211" w:author="CMCC-Luyang Zhao" w:date="2025-05-07T15:27:06Z">
              <w:r>
                <w:rPr>
                  <w:rFonts w:hint="eastAsia" w:cs="Arial"/>
                  <w:lang w:val="en-US" w:eastAsia="zh-CN"/>
                </w:rPr>
                <w:t>254</w:t>
              </w:r>
            </w:ins>
          </w:p>
        </w:tc>
        <w:tc>
          <w:tcPr>
            <w:tcW w:w="2693" w:type="dxa"/>
          </w:tcPr>
          <w:p w14:paraId="26BF6BB2">
            <w:pPr>
              <w:pStyle w:val="54"/>
              <w:rPr>
                <w:ins w:id="212" w:author="CMCC-Luyang Zhao" w:date="2025-05-07T15:27:06Z"/>
                <w:rFonts w:cs="Arial"/>
                <w:lang w:val="en-US" w:eastAsia="zh-CN"/>
              </w:rPr>
            </w:pPr>
            <w:ins w:id="213" w:author="CMCC-Luyang Zhao" w:date="2025-05-07T15:27:06Z">
              <w:r>
                <w:rPr>
                  <w:rFonts w:hint="eastAsia" w:cs="Arial"/>
                  <w:lang w:val="en-US" w:eastAsia="zh-CN"/>
                </w:rPr>
                <w:t>873.5 MHz</w:t>
              </w:r>
            </w:ins>
            <w:ins w:id="214" w:author="CMCC-Luyang Zhao" w:date="2025-05-07T15:27:06Z">
              <w:r>
                <w:rPr>
                  <w:rFonts w:cs="Arial"/>
                  <w:vertAlign w:val="superscript"/>
                  <w:lang w:val="en-US" w:eastAsia="zh-CN"/>
                </w:rPr>
                <w:t>1</w:t>
              </w:r>
            </w:ins>
          </w:p>
          <w:p w14:paraId="1893661B">
            <w:pPr>
              <w:pStyle w:val="54"/>
              <w:rPr>
                <w:ins w:id="215" w:author="CMCC-Luyang Zhao" w:date="2025-05-07T15:27:06Z"/>
                <w:rFonts w:cs="Arial"/>
              </w:rPr>
            </w:pPr>
            <w:ins w:id="216" w:author="CMCC-Luyang Zhao" w:date="2025-05-07T15:27:06Z">
              <w:r>
                <w:rPr>
                  <w:rFonts w:cs="Arial"/>
                  <w:lang w:val="en-US" w:eastAsia="zh-CN"/>
                </w:rPr>
                <w:t>857.2 to 889.8 MHz</w:t>
              </w:r>
            </w:ins>
            <w:ins w:id="217" w:author="CMCC-Luyang Zhao" w:date="2025-05-07T15:27:06Z">
              <w:r>
                <w:rPr>
                  <w:rFonts w:cs="Arial"/>
                  <w:vertAlign w:val="superscript"/>
                  <w:lang w:val="en-US" w:eastAsia="zh-CN"/>
                </w:rPr>
                <w:t>2</w:t>
              </w:r>
            </w:ins>
          </w:p>
        </w:tc>
      </w:tr>
      <w:tr w14:paraId="5E3B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 w:author="CMCC-Luyang Zhao" w:date="2025-05-07T15:27:06Z"/>
        </w:trPr>
        <w:tc>
          <w:tcPr>
            <w:tcW w:w="2817" w:type="dxa"/>
          </w:tcPr>
          <w:p w14:paraId="25F1CB49">
            <w:pPr>
              <w:pStyle w:val="54"/>
              <w:rPr>
                <w:ins w:id="219" w:author="CMCC-Luyang Zhao" w:date="2025-05-07T15:27:06Z"/>
                <w:rFonts w:cs="Arial"/>
              </w:rPr>
            </w:pPr>
            <w:ins w:id="220" w:author="CMCC-Luyang Zhao" w:date="2025-05-07T15:27:06Z">
              <w:r>
                <w:rPr>
                  <w:rFonts w:hint="eastAsia" w:cs="Arial"/>
                  <w:lang w:val="en-US" w:eastAsia="zh-CN"/>
                </w:rPr>
                <w:t>253</w:t>
              </w:r>
            </w:ins>
          </w:p>
        </w:tc>
        <w:tc>
          <w:tcPr>
            <w:tcW w:w="2693" w:type="dxa"/>
          </w:tcPr>
          <w:p w14:paraId="481080BE">
            <w:pPr>
              <w:pStyle w:val="54"/>
              <w:rPr>
                <w:ins w:id="221" w:author="CMCC-Luyang Zhao" w:date="2025-05-07T15:27:06Z"/>
                <w:rFonts w:cs="Arial"/>
                <w:lang w:val="en-US" w:eastAsia="zh-CN"/>
              </w:rPr>
            </w:pPr>
            <w:ins w:id="222" w:author="CMCC-Luyang Zhao" w:date="2025-05-07T15:27:06Z">
              <w:r>
                <w:rPr>
                  <w:rFonts w:hint="eastAsia" w:cs="Arial"/>
                  <w:lang w:val="en-US" w:eastAsia="zh-CN"/>
                </w:rPr>
                <w:t>-150 MHz</w:t>
              </w:r>
            </w:ins>
            <w:ins w:id="223" w:author="CMCC-Luyang Zhao" w:date="2025-05-07T15:27:06Z">
              <w:r>
                <w:rPr>
                  <w:rFonts w:cs="Arial"/>
                  <w:vertAlign w:val="superscript"/>
                  <w:lang w:val="en-US" w:eastAsia="zh-CN"/>
                </w:rPr>
                <w:t>1</w:t>
              </w:r>
            </w:ins>
          </w:p>
          <w:p w14:paraId="3C27CEF7">
            <w:pPr>
              <w:pStyle w:val="54"/>
              <w:rPr>
                <w:ins w:id="224" w:author="CMCC-Luyang Zhao" w:date="2025-05-07T15:27:06Z"/>
                <w:rFonts w:cs="Arial"/>
              </w:rPr>
            </w:pPr>
            <w:ins w:id="225" w:author="CMCC-Luyang Zhao" w:date="2025-05-07T15:27:06Z">
              <w:r>
                <w:rPr>
                  <w:rFonts w:cs="Arial"/>
                  <w:lang w:val="en-US" w:eastAsia="zh-CN"/>
                </w:rPr>
                <w:t>-143.2 to -156.8 MHz</w:t>
              </w:r>
            </w:ins>
            <w:ins w:id="226" w:author="CMCC-Luyang Zhao" w:date="2025-05-07T15:27:06Z">
              <w:r>
                <w:rPr>
                  <w:rFonts w:cs="Arial"/>
                  <w:vertAlign w:val="superscript"/>
                  <w:lang w:val="en-US" w:eastAsia="zh-CN"/>
                </w:rPr>
                <w:t>2</w:t>
              </w:r>
            </w:ins>
          </w:p>
        </w:tc>
      </w:tr>
      <w:tr w14:paraId="6C22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 w:author="CMCC-Luyang Zhao" w:date="2025-05-07T15:27:06Z"/>
        </w:trPr>
        <w:tc>
          <w:tcPr>
            <w:tcW w:w="5510" w:type="dxa"/>
            <w:gridSpan w:val="2"/>
          </w:tcPr>
          <w:p w14:paraId="355BC314">
            <w:pPr>
              <w:pStyle w:val="54"/>
              <w:jc w:val="left"/>
              <w:rPr>
                <w:ins w:id="228" w:author="CMCC-Luyang Zhao" w:date="2025-05-07T15:27:06Z"/>
                <w:rFonts w:cs="Arial"/>
                <w:lang w:eastAsia="zh-CN"/>
              </w:rPr>
            </w:pPr>
            <w:ins w:id="229" w:author="CMCC-Luyang Zhao" w:date="2025-05-07T15:27:06Z">
              <w:r>
                <w:rPr>
                  <w:rFonts w:cs="Arial"/>
                  <w:lang w:eastAsia="zh-CN"/>
                </w:rPr>
                <w:t>NOTE 1:</w:t>
              </w:r>
            </w:ins>
            <w:ins w:id="230" w:author="CMCC-Luyang Zhao" w:date="2025-05-07T15:27:06Z">
              <w:r>
                <w:rPr>
                  <w:rFonts w:cs="Arial"/>
                  <w:lang w:eastAsia="zh-CN"/>
                </w:rPr>
                <w:tab/>
              </w:r>
            </w:ins>
            <w:ins w:id="231" w:author="CMCC-Luyang Zhao" w:date="2025-05-07T15:27:06Z">
              <w:r>
                <w:rPr>
                  <w:rFonts w:cs="Arial"/>
                  <w:lang w:eastAsia="zh-CN"/>
                </w:rPr>
                <w:t>Default Tx-Rx separation.</w:t>
              </w:r>
            </w:ins>
          </w:p>
          <w:p w14:paraId="1C57B760">
            <w:pPr>
              <w:pStyle w:val="54"/>
              <w:jc w:val="left"/>
              <w:rPr>
                <w:ins w:id="232" w:author="CMCC-Luyang Zhao" w:date="2025-05-07T15:27:06Z"/>
                <w:rFonts w:cs="Arial"/>
                <w:lang w:eastAsia="zh-CN"/>
              </w:rPr>
            </w:pPr>
            <w:ins w:id="233" w:author="CMCC-Luyang Zhao" w:date="2025-05-07T15:27:06Z">
              <w:r>
                <w:rPr>
                  <w:rFonts w:cs="Arial"/>
                  <w:lang w:eastAsia="zh-CN"/>
                </w:rPr>
                <w:t>NOTE 2:</w:t>
              </w:r>
            </w:ins>
            <w:ins w:id="234" w:author="CMCC-Luyang Zhao" w:date="2025-05-07T15:27:06Z">
              <w:r>
                <w:rPr>
                  <w:rFonts w:cs="Arial"/>
                  <w:lang w:eastAsia="zh-CN"/>
                </w:rPr>
                <w:tab/>
              </w:r>
            </w:ins>
            <w:ins w:id="235" w:author="CMCC-Luyang Zhao" w:date="2025-05-07T15:27:06Z">
              <w:r>
                <w:rPr>
                  <w:rFonts w:cs="Arial"/>
                  <w:lang w:eastAsia="zh-CN"/>
                </w:rPr>
                <w:t>The verification of flexible TX-RX frequency separation within this range is limited to reference sensitivity. Further details are specified in clause 7.3B.</w:t>
              </w:r>
            </w:ins>
          </w:p>
        </w:tc>
      </w:tr>
    </w:tbl>
    <w:p w14:paraId="5050B294">
      <w:pPr>
        <w:pStyle w:val="77"/>
        <w:ind w:left="0" w:firstLine="0"/>
        <w:rPr>
          <w:ins w:id="236" w:author="CMCC-Luyang Zhao" w:date="2025-05-07T15:23:40Z"/>
        </w:rPr>
      </w:pPr>
    </w:p>
    <w:p w14:paraId="09D7AC6B">
      <w:pPr>
        <w:pStyle w:val="2"/>
      </w:pPr>
      <w:r>
        <w:t>6</w:t>
      </w:r>
      <w:r>
        <w:tab/>
      </w:r>
      <w:r>
        <w:t>Transmitter characteristics</w:t>
      </w:r>
      <w:bookmarkEnd w:id="118"/>
      <w:bookmarkEnd w:id="119"/>
      <w:bookmarkEnd w:id="120"/>
      <w:bookmarkEnd w:id="121"/>
      <w:bookmarkEnd w:id="122"/>
      <w:bookmarkEnd w:id="123"/>
      <w:bookmarkEnd w:id="124"/>
      <w:bookmarkEnd w:id="125"/>
      <w:bookmarkEnd w:id="126"/>
      <w:bookmarkEnd w:id="127"/>
      <w:bookmarkEnd w:id="128"/>
    </w:p>
    <w:p w14:paraId="20D6E17A">
      <w:pPr>
        <w:pStyle w:val="85"/>
        <w:rPr>
          <w:rFonts w:eastAsia="??"/>
          <w:color w:val="FF0000"/>
          <w:sz w:val="32"/>
        </w:rPr>
      </w:pPr>
      <w:bookmarkStart w:id="129" w:name="_Toc9260"/>
      <w:bookmarkStart w:id="130" w:name="_Toc28471"/>
      <w:bookmarkStart w:id="131" w:name="_Toc12921"/>
      <w:bookmarkStart w:id="132" w:name="_Toc120570064"/>
      <w:bookmarkStart w:id="133" w:name="_Toc121162856"/>
      <w:bookmarkStart w:id="134" w:name="_Toc25448"/>
      <w:bookmarkStart w:id="135" w:name="_Toc194571855"/>
      <w:bookmarkStart w:id="136" w:name="_Toc13738"/>
      <w:bookmarkStart w:id="137" w:name="_Toc10298"/>
      <w:bookmarkStart w:id="138" w:name="_Toc120570089"/>
      <w:bookmarkStart w:id="139" w:name="_Toc21839"/>
      <w:bookmarkStart w:id="140" w:name="_Toc32063"/>
      <w:bookmarkStart w:id="141" w:name="_Toc19989"/>
      <w:bookmarkStart w:id="142" w:name="_Toc111062076"/>
      <w:bookmarkStart w:id="143" w:name="_Toc368026359"/>
      <w:bookmarkStart w:id="144" w:name="_Toc25736"/>
      <w:bookmarkStart w:id="145" w:name="_Toc194571874"/>
      <w:bookmarkStart w:id="146" w:name="_Toc11768"/>
      <w:bookmarkStart w:id="147" w:name="_Toc121162881"/>
      <w:bookmarkStart w:id="148" w:name="_Toc17751"/>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06631744">
      <w:pPr>
        <w:pStyle w:val="5"/>
      </w:pPr>
      <w:r>
        <w:t>6.5A.4.3</w:t>
      </w:r>
      <w:r>
        <w:tab/>
      </w:r>
      <w:r>
        <w:t>Spurious emission band UE co-existence</w:t>
      </w:r>
      <w:bookmarkEnd w:id="129"/>
      <w:bookmarkEnd w:id="130"/>
      <w:bookmarkEnd w:id="131"/>
      <w:bookmarkEnd w:id="132"/>
      <w:bookmarkEnd w:id="133"/>
      <w:r>
        <w:t xml:space="preserve"> for category M1</w:t>
      </w:r>
      <w:bookmarkEnd w:id="134"/>
      <w:bookmarkEnd w:id="135"/>
      <w:bookmarkEnd w:id="136"/>
      <w:bookmarkEnd w:id="137"/>
    </w:p>
    <w:p w14:paraId="2F2F606D">
      <w:pPr>
        <w:pStyle w:val="8"/>
      </w:pPr>
      <w:bookmarkStart w:id="149" w:name="MCCQCTEMPBM_00000264"/>
      <w:r>
        <w:t>6.5A.4.3.1</w:t>
      </w:r>
      <w:r>
        <w:tab/>
      </w:r>
      <w:r>
        <w:t>Test purpose</w:t>
      </w:r>
    </w:p>
    <w:bookmarkEnd w:id="149"/>
    <w:p w14:paraId="4792F2E4">
      <w:r>
        <w:t>To verify that UE transmitter does not cause unacceptable interference to co-existing systems for the specified bands which has specific requirements in terms of transmitter spurious emissions.</w:t>
      </w:r>
    </w:p>
    <w:p w14:paraId="6B7CDEA1">
      <w:pPr>
        <w:pStyle w:val="8"/>
      </w:pPr>
      <w:bookmarkStart w:id="150" w:name="MCCQCTEMPBM_00000265"/>
      <w:r>
        <w:t>6.5A.4.3.2</w:t>
      </w:r>
      <w:r>
        <w:tab/>
      </w:r>
      <w:r>
        <w:t>Test applicability</w:t>
      </w:r>
    </w:p>
    <w:bookmarkEnd w:id="150"/>
    <w:p w14:paraId="3075C378">
      <w:r>
        <w:t>This test case applies to all types of E-UTRA UE release 17 and forward of UE category M1 that support satellite access operation.</w:t>
      </w:r>
    </w:p>
    <w:p w14:paraId="30D8AB89">
      <w:pPr>
        <w:pStyle w:val="8"/>
      </w:pPr>
      <w:bookmarkStart w:id="151" w:name="MCCQCTEMPBM_00000266"/>
      <w:r>
        <w:t>6.5A.4.3.3</w:t>
      </w:r>
      <w:r>
        <w:tab/>
      </w:r>
      <w:r>
        <w:t>Minimum conformance requirements</w:t>
      </w:r>
    </w:p>
    <w:bookmarkEnd w:id="151"/>
    <w:p w14:paraId="0339718D">
      <w:r>
        <w:t>This clause specifies the requirements for E-UTRA satellite bands for UE coexistence with protected bands.</w:t>
      </w:r>
    </w:p>
    <w:p w14:paraId="52292FE1">
      <w:pPr>
        <w:pStyle w:val="57"/>
      </w:pPr>
      <w:r>
        <w:t>Table 6.5A.4.3.3-1: Requirements for spurious emissions for UE co-existence</w:t>
      </w:r>
    </w:p>
    <w:tbl>
      <w:tblPr>
        <w:tblStyle w:val="43"/>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
      <w:tr w14:paraId="6B2CBC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14:paraId="111EB01F">
            <w:pPr>
              <w:pStyle w:val="53"/>
              <w:rPr>
                <w:rFonts w:cs="Arial"/>
              </w:rPr>
            </w:pPr>
            <w:bookmarkStart w:id="152" w:name="MCCQCTEMPBM_00000518"/>
            <w:r>
              <w:rPr>
                <w:rFonts w:cs="Arial"/>
              </w:rPr>
              <w:t>E-UTRA Band</w:t>
            </w:r>
          </w:p>
        </w:tc>
        <w:tc>
          <w:tcPr>
            <w:tcW w:w="7981" w:type="dxa"/>
            <w:gridSpan w:val="7"/>
            <w:tcBorders>
              <w:top w:val="single" w:color="auto" w:sz="4" w:space="0"/>
              <w:left w:val="single" w:color="auto" w:sz="6" w:space="0"/>
              <w:bottom w:val="single" w:color="auto" w:sz="6" w:space="0"/>
              <w:right w:val="single" w:color="auto" w:sz="4" w:space="0"/>
            </w:tcBorders>
          </w:tcPr>
          <w:p w14:paraId="61573F85">
            <w:pPr>
              <w:pStyle w:val="53"/>
              <w:rPr>
                <w:rFonts w:cs="Arial"/>
              </w:rPr>
            </w:pPr>
            <w:r>
              <w:rPr>
                <w:rFonts w:cs="Arial"/>
              </w:rPr>
              <w:t xml:space="preserve">Spurious emission </w:t>
            </w:r>
          </w:p>
        </w:tc>
      </w:tr>
      <w:tr w14:paraId="542E17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14:paraId="2E3E51B8">
            <w:pPr>
              <w:spacing w:after="0"/>
              <w:rPr>
                <w:rFonts w:ascii="Arial" w:hAnsi="Arial" w:cs="Arial"/>
                <w:b/>
                <w:sz w:val="18"/>
              </w:rPr>
            </w:pPr>
          </w:p>
        </w:tc>
        <w:tc>
          <w:tcPr>
            <w:tcW w:w="3164" w:type="dxa"/>
            <w:tcBorders>
              <w:top w:val="single" w:color="auto" w:sz="6" w:space="0"/>
              <w:left w:val="single" w:color="auto" w:sz="6" w:space="0"/>
              <w:bottom w:val="single" w:color="auto" w:sz="6" w:space="0"/>
              <w:right w:val="single" w:color="auto" w:sz="6" w:space="0"/>
            </w:tcBorders>
          </w:tcPr>
          <w:p w14:paraId="27D1C681">
            <w:pPr>
              <w:pStyle w:val="53"/>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14:paraId="35B9015B">
            <w:pPr>
              <w:pStyle w:val="53"/>
              <w:rPr>
                <w:rFonts w:cs="Arial"/>
              </w:rPr>
            </w:pPr>
            <w:r>
              <w:rPr>
                <w:rFonts w:cs="Arial"/>
              </w:rPr>
              <w:t>Frequency range (MHz)</w:t>
            </w:r>
          </w:p>
        </w:tc>
        <w:tc>
          <w:tcPr>
            <w:tcW w:w="1133" w:type="dxa"/>
            <w:tcBorders>
              <w:top w:val="single" w:color="auto" w:sz="6" w:space="0"/>
              <w:left w:val="single" w:color="auto" w:sz="6" w:space="0"/>
              <w:bottom w:val="single" w:color="auto" w:sz="6" w:space="0"/>
              <w:right w:val="single" w:color="auto" w:sz="6" w:space="0"/>
            </w:tcBorders>
          </w:tcPr>
          <w:p w14:paraId="1575C645">
            <w:pPr>
              <w:pStyle w:val="53"/>
              <w:rPr>
                <w:rFonts w:cs="Arial"/>
              </w:rPr>
            </w:pPr>
            <w:r>
              <w:rPr>
                <w:rFonts w:cs="Arial"/>
              </w:rPr>
              <w:t>Maximum Level (dBm)</w:t>
            </w:r>
          </w:p>
        </w:tc>
        <w:tc>
          <w:tcPr>
            <w:tcW w:w="850" w:type="dxa"/>
            <w:tcBorders>
              <w:top w:val="single" w:color="auto" w:sz="6" w:space="0"/>
              <w:left w:val="single" w:color="auto" w:sz="6" w:space="0"/>
              <w:bottom w:val="single" w:color="auto" w:sz="6" w:space="0"/>
              <w:right w:val="single" w:color="auto" w:sz="6" w:space="0"/>
            </w:tcBorders>
          </w:tcPr>
          <w:p w14:paraId="6244001C">
            <w:pPr>
              <w:pStyle w:val="53"/>
              <w:rPr>
                <w:rFonts w:cs="Arial"/>
              </w:rPr>
            </w:pPr>
            <w:r>
              <w:rPr>
                <w:rFonts w:cs="Arial"/>
              </w:rPr>
              <w:t>MBW (MHz)</w:t>
            </w:r>
          </w:p>
        </w:tc>
        <w:tc>
          <w:tcPr>
            <w:tcW w:w="928" w:type="dxa"/>
            <w:tcBorders>
              <w:top w:val="single" w:color="auto" w:sz="6" w:space="0"/>
              <w:left w:val="single" w:color="auto" w:sz="6" w:space="0"/>
              <w:bottom w:val="single" w:color="auto" w:sz="6" w:space="0"/>
              <w:right w:val="single" w:color="auto" w:sz="4" w:space="0"/>
            </w:tcBorders>
            <w:noWrap/>
          </w:tcPr>
          <w:p w14:paraId="65C5111B">
            <w:pPr>
              <w:pStyle w:val="53"/>
              <w:rPr>
                <w:rFonts w:cs="Arial"/>
              </w:rPr>
            </w:pPr>
            <w:r>
              <w:rPr>
                <w:rFonts w:cs="Arial"/>
              </w:rPr>
              <w:t>NOTE</w:t>
            </w:r>
          </w:p>
        </w:tc>
      </w:tr>
      <w:tr w14:paraId="4A4D5A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left w:val="single" w:color="auto" w:sz="4" w:space="0"/>
              <w:bottom w:val="nil"/>
              <w:right w:val="single" w:color="auto" w:sz="6" w:space="0"/>
            </w:tcBorders>
          </w:tcPr>
          <w:p w14:paraId="5C4884DB">
            <w:pPr>
              <w:pStyle w:val="54"/>
              <w:rPr>
                <w:rFonts w:cs="Arial"/>
                <w:sz w:val="16"/>
                <w:szCs w:val="16"/>
              </w:rPr>
            </w:pPr>
            <w:r>
              <w:rPr>
                <w:rFonts w:cs="Arial"/>
                <w:sz w:val="16"/>
                <w:szCs w:val="16"/>
              </w:rPr>
              <w:t>253</w:t>
            </w:r>
          </w:p>
        </w:tc>
        <w:tc>
          <w:tcPr>
            <w:tcW w:w="3164" w:type="dxa"/>
            <w:tcBorders>
              <w:top w:val="single" w:color="auto" w:sz="6" w:space="0"/>
              <w:left w:val="single" w:color="auto" w:sz="6" w:space="0"/>
              <w:bottom w:val="single" w:color="auto" w:sz="6" w:space="0"/>
              <w:right w:val="single" w:color="auto" w:sz="6" w:space="0"/>
            </w:tcBorders>
            <w:vAlign w:val="center"/>
          </w:tcPr>
          <w:p w14:paraId="519FA7D6">
            <w:pPr>
              <w:pStyle w:val="55"/>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651DA132">
            <w:pPr>
              <w:pStyle w:val="55"/>
              <w:rPr>
                <w:rFonts w:cs="Arial"/>
                <w:sz w:val="16"/>
                <w:szCs w:val="16"/>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color="auto" w:sz="6" w:space="0"/>
              <w:left w:val="single" w:color="auto" w:sz="6" w:space="0"/>
              <w:bottom w:val="single" w:color="auto" w:sz="6" w:space="0"/>
              <w:right w:val="single" w:color="auto" w:sz="6" w:space="0"/>
            </w:tcBorders>
            <w:vAlign w:val="center"/>
          </w:tcPr>
          <w:p w14:paraId="3CBDDAA0">
            <w:pPr>
              <w:pStyle w:val="67"/>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5A78EF56">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6C828D75">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6779ABD3">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41C1B444">
            <w:pPr>
              <w:pStyle w:val="54"/>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3F2D5CC9">
            <w:pPr>
              <w:pStyle w:val="54"/>
              <w:rPr>
                <w:rFonts w:cs="Arial"/>
                <w:sz w:val="16"/>
                <w:szCs w:val="16"/>
                <w:lang w:eastAsia="zh-CN"/>
              </w:rPr>
            </w:pPr>
          </w:p>
        </w:tc>
      </w:tr>
      <w:tr w14:paraId="424EBD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30229985">
            <w:pPr>
              <w:pStyle w:val="54"/>
              <w:rPr>
                <w:rFonts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3A68598F">
            <w:pPr>
              <w:pStyle w:val="55"/>
              <w:rPr>
                <w:rFonts w:cs="Arial"/>
                <w:sz w:val="16"/>
                <w:szCs w:val="16"/>
              </w:rPr>
            </w:pPr>
            <w:r>
              <w:rPr>
                <w:rFonts w:cs="Arial"/>
                <w:sz w:val="16"/>
                <w:szCs w:val="16"/>
              </w:rPr>
              <w:t>NR Band n77, n78</w:t>
            </w:r>
          </w:p>
        </w:tc>
        <w:tc>
          <w:tcPr>
            <w:tcW w:w="772" w:type="dxa"/>
            <w:tcBorders>
              <w:top w:val="single" w:color="auto" w:sz="6" w:space="0"/>
              <w:left w:val="single" w:color="auto" w:sz="6" w:space="0"/>
              <w:bottom w:val="single" w:color="auto" w:sz="6" w:space="0"/>
              <w:right w:val="single" w:color="auto" w:sz="6" w:space="0"/>
            </w:tcBorders>
            <w:vAlign w:val="center"/>
          </w:tcPr>
          <w:p w14:paraId="50409F69">
            <w:pPr>
              <w:pStyle w:val="67"/>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5A305E87">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0CA743A7">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07DB12A5">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7A670786">
            <w:pPr>
              <w:pStyle w:val="54"/>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5D9899BD">
            <w:pPr>
              <w:pStyle w:val="54"/>
              <w:rPr>
                <w:rFonts w:cs="Arial"/>
                <w:sz w:val="16"/>
                <w:szCs w:val="16"/>
                <w:lang w:eastAsia="zh-CN"/>
              </w:rPr>
            </w:pPr>
            <w:r>
              <w:rPr>
                <w:rFonts w:cs="Arial"/>
                <w:sz w:val="16"/>
                <w:szCs w:val="16"/>
                <w:lang w:eastAsia="zh-CN"/>
              </w:rPr>
              <w:t>2</w:t>
            </w:r>
          </w:p>
        </w:tc>
      </w:tr>
      <w:tr w14:paraId="0C452A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left w:val="single" w:color="auto" w:sz="4" w:space="0"/>
              <w:bottom w:val="nil"/>
              <w:right w:val="single" w:color="auto" w:sz="6" w:space="0"/>
            </w:tcBorders>
          </w:tcPr>
          <w:p w14:paraId="215AB299">
            <w:pPr>
              <w:pStyle w:val="54"/>
              <w:rPr>
                <w:rFonts w:cs="Arial"/>
                <w:sz w:val="16"/>
                <w:szCs w:val="16"/>
              </w:rPr>
            </w:pPr>
            <w:r>
              <w:rPr>
                <w:rFonts w:cs="Arial"/>
                <w:sz w:val="16"/>
                <w:szCs w:val="16"/>
              </w:rPr>
              <w:t>254</w:t>
            </w:r>
          </w:p>
        </w:tc>
        <w:tc>
          <w:tcPr>
            <w:tcW w:w="3164" w:type="dxa"/>
            <w:tcBorders>
              <w:top w:val="single" w:color="auto" w:sz="6" w:space="0"/>
              <w:left w:val="single" w:color="auto" w:sz="6" w:space="0"/>
              <w:bottom w:val="single" w:color="auto" w:sz="6" w:space="0"/>
              <w:right w:val="single" w:color="auto" w:sz="6" w:space="0"/>
            </w:tcBorders>
            <w:vAlign w:val="center"/>
          </w:tcPr>
          <w:p w14:paraId="588154AD">
            <w:pPr>
              <w:pStyle w:val="55"/>
              <w:rPr>
                <w:rFonts w:cs="Arial"/>
                <w:sz w:val="16"/>
                <w:szCs w:val="16"/>
                <w:lang w:eastAsia="ja-JP"/>
              </w:rPr>
            </w:pPr>
            <w:r>
              <w:rPr>
                <w:rFonts w:cs="Arial"/>
                <w:sz w:val="16"/>
                <w:szCs w:val="16"/>
              </w:rPr>
              <w:t>E-UTRA Band 2, 4, 5, 12, 13, 14, 17, 24, 25, 26, 29, 30,</w:t>
            </w:r>
            <w:r>
              <w:rPr>
                <w:rFonts w:cs="Arial"/>
                <w:sz w:val="16"/>
                <w:szCs w:val="16"/>
                <w:lang w:eastAsia="zh-CN"/>
              </w:rPr>
              <w:t xml:space="preserve"> 31,</w:t>
            </w:r>
            <w:r>
              <w:rPr>
                <w:rFonts w:cs="Arial"/>
                <w:sz w:val="16"/>
                <w:szCs w:val="16"/>
              </w:rPr>
              <w:t xml:space="preserve"> 41, </w:t>
            </w:r>
            <w:r>
              <w:rPr>
                <w:rFonts w:cs="Arial"/>
                <w:sz w:val="16"/>
                <w:szCs w:val="16"/>
                <w:lang w:eastAsia="ja-JP"/>
              </w:rPr>
              <w:t>48,</w:t>
            </w:r>
            <w:r>
              <w:rPr>
                <w:rFonts w:cs="Arial"/>
                <w:sz w:val="16"/>
                <w:szCs w:val="16"/>
                <w:lang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 72, 85</w:t>
            </w:r>
            <w:r>
              <w:rPr>
                <w:rFonts w:cs="Arial"/>
                <w:sz w:val="16"/>
                <w:szCs w:val="16"/>
                <w:lang w:eastAsia="ja-JP"/>
              </w:rPr>
              <w:t>,</w:t>
            </w:r>
            <w:r>
              <w:rPr>
                <w:rFonts w:cs="Arial"/>
                <w:sz w:val="16"/>
                <w:szCs w:val="16"/>
                <w:lang w:eastAsia="zh-CN"/>
              </w:rPr>
              <w:t xml:space="preserve"> 87, 88,</w:t>
            </w:r>
            <w:r>
              <w:rPr>
                <w:rFonts w:cs="Arial"/>
                <w:sz w:val="16"/>
                <w:szCs w:val="16"/>
                <w:lang w:eastAsia="ja-JP"/>
              </w:rPr>
              <w:t xml:space="preserve"> 103</w:t>
            </w:r>
          </w:p>
          <w:p w14:paraId="2F825AF2">
            <w:pPr>
              <w:pStyle w:val="55"/>
              <w:rPr>
                <w:rFonts w:cs="Arial"/>
                <w:sz w:val="16"/>
                <w:szCs w:val="16"/>
              </w:rPr>
            </w:pPr>
            <w:r>
              <w:rPr>
                <w:rFonts w:cs="Arial"/>
                <w:sz w:val="16"/>
                <w:szCs w:val="16"/>
              </w:rPr>
              <w:t>NR Band n1, n3, n7, n8, n18, n20, n28, n34, n38, n39, n40, n50, n51, n53,</w:t>
            </w:r>
            <w:r>
              <w:rPr>
                <w:rFonts w:cs="Arial"/>
                <w:sz w:val="16"/>
                <w:szCs w:val="16"/>
                <w:lang w:eastAsia="zh-CN"/>
              </w:rPr>
              <w:t xml:space="preserve"> </w:t>
            </w:r>
            <w:r>
              <w:rPr>
                <w:rFonts w:cs="Arial"/>
                <w:sz w:val="16"/>
                <w:szCs w:val="16"/>
              </w:rPr>
              <w:t>n65, n67, n74, n75, n76, n77, n78</w:t>
            </w:r>
            <w:r>
              <w:rPr>
                <w:rFonts w:cs="Arial"/>
                <w:sz w:val="16"/>
                <w:szCs w:val="16"/>
                <w:lang w:eastAsia="zh-CN"/>
              </w:rPr>
              <w:t xml:space="preserve">, </w:t>
            </w:r>
            <w:r>
              <w:rPr>
                <w:rFonts w:cs="Arial"/>
                <w:sz w:val="16"/>
                <w:szCs w:val="16"/>
              </w:rPr>
              <w:t>n90, n91, n92, n93, n94</w:t>
            </w:r>
            <w:r>
              <w:rPr>
                <w:rFonts w:cs="Arial"/>
                <w:sz w:val="16"/>
                <w:szCs w:val="16"/>
                <w:lang w:eastAsia="zh-CN"/>
              </w:rPr>
              <w:t>, n105, n106, n109</w:t>
            </w:r>
          </w:p>
        </w:tc>
        <w:tc>
          <w:tcPr>
            <w:tcW w:w="772" w:type="dxa"/>
            <w:tcBorders>
              <w:top w:val="single" w:color="auto" w:sz="6" w:space="0"/>
              <w:left w:val="single" w:color="auto" w:sz="6" w:space="0"/>
              <w:bottom w:val="single" w:color="auto" w:sz="6" w:space="0"/>
              <w:right w:val="single" w:color="auto" w:sz="6" w:space="0"/>
            </w:tcBorders>
            <w:vAlign w:val="center"/>
          </w:tcPr>
          <w:p w14:paraId="36E7B4B4">
            <w:pPr>
              <w:pStyle w:val="67"/>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720C3F78">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5AEBD5E1">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2478F92C">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4FFBDE0E">
            <w:pPr>
              <w:pStyle w:val="54"/>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0C82AD75">
            <w:pPr>
              <w:pStyle w:val="54"/>
              <w:rPr>
                <w:rFonts w:cs="Arial"/>
                <w:sz w:val="16"/>
                <w:szCs w:val="16"/>
                <w:lang w:eastAsia="zh-CN"/>
              </w:rPr>
            </w:pPr>
          </w:p>
        </w:tc>
      </w:tr>
      <w:tr w14:paraId="682E4B6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5358C00E">
            <w:pPr>
              <w:pStyle w:val="54"/>
              <w:rPr>
                <w:rFonts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0ECCBB2C">
            <w:pPr>
              <w:pStyle w:val="55"/>
              <w:rPr>
                <w:rFonts w:cs="Arial"/>
                <w:sz w:val="16"/>
                <w:szCs w:val="16"/>
              </w:rPr>
            </w:pPr>
            <w:r>
              <w:rPr>
                <w:rFonts w:cs="Arial"/>
                <w:sz w:val="16"/>
                <w:szCs w:val="16"/>
              </w:rPr>
              <w:t>NR Band n79</w:t>
            </w:r>
          </w:p>
        </w:tc>
        <w:tc>
          <w:tcPr>
            <w:tcW w:w="772" w:type="dxa"/>
            <w:tcBorders>
              <w:top w:val="single" w:color="auto" w:sz="6" w:space="0"/>
              <w:left w:val="single" w:color="auto" w:sz="6" w:space="0"/>
              <w:bottom w:val="single" w:color="auto" w:sz="6" w:space="0"/>
              <w:right w:val="single" w:color="auto" w:sz="6" w:space="0"/>
            </w:tcBorders>
            <w:vAlign w:val="center"/>
          </w:tcPr>
          <w:p w14:paraId="5F35318B">
            <w:pPr>
              <w:pStyle w:val="67"/>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16BA81EF">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0C175889">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76AC47C6">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4A4A661F">
            <w:pPr>
              <w:pStyle w:val="54"/>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233CA262">
            <w:pPr>
              <w:pStyle w:val="54"/>
              <w:rPr>
                <w:rFonts w:cs="Arial"/>
                <w:sz w:val="16"/>
                <w:szCs w:val="16"/>
                <w:lang w:eastAsia="zh-CN"/>
              </w:rPr>
            </w:pPr>
            <w:r>
              <w:rPr>
                <w:rFonts w:cs="Arial"/>
                <w:sz w:val="16"/>
                <w:szCs w:val="16"/>
                <w:lang w:eastAsia="zh-CN"/>
              </w:rPr>
              <w:t>2</w:t>
            </w:r>
          </w:p>
        </w:tc>
      </w:tr>
      <w:tr w14:paraId="11BD02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right w:val="single" w:color="auto" w:sz="6" w:space="0"/>
            </w:tcBorders>
          </w:tcPr>
          <w:p w14:paraId="2B17F986">
            <w:pPr>
              <w:pStyle w:val="54"/>
              <w:rPr>
                <w:rFonts w:cs="Arial"/>
                <w:sz w:val="16"/>
                <w:szCs w:val="16"/>
              </w:rPr>
            </w:pPr>
            <w:r>
              <w:rPr>
                <w:rFonts w:cs="Arial"/>
                <w:sz w:val="16"/>
                <w:szCs w:val="16"/>
              </w:rPr>
              <w:t>255</w:t>
            </w:r>
          </w:p>
        </w:tc>
        <w:tc>
          <w:tcPr>
            <w:tcW w:w="3164" w:type="dxa"/>
            <w:tcBorders>
              <w:top w:val="single" w:color="auto" w:sz="6" w:space="0"/>
              <w:left w:val="single" w:color="auto" w:sz="6" w:space="0"/>
              <w:bottom w:val="single" w:color="auto" w:sz="6" w:space="0"/>
              <w:right w:val="single" w:color="auto" w:sz="6" w:space="0"/>
            </w:tcBorders>
            <w:vAlign w:val="center"/>
          </w:tcPr>
          <w:p w14:paraId="51CC42E3">
            <w:pPr>
              <w:pStyle w:val="55"/>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66, 70, 71, 85</w:t>
            </w:r>
            <w:r>
              <w:rPr>
                <w:rFonts w:cs="Arial"/>
                <w:sz w:val="16"/>
                <w:szCs w:val="16"/>
                <w:lang w:eastAsia="ja-JP"/>
              </w:rPr>
              <w:t>, 103</w:t>
            </w:r>
          </w:p>
          <w:p w14:paraId="242EDF50">
            <w:pPr>
              <w:pStyle w:val="55"/>
              <w:rPr>
                <w:rFonts w:cs="Arial"/>
                <w:sz w:val="16"/>
                <w:szCs w:val="16"/>
              </w:rPr>
            </w:pPr>
            <w:r>
              <w:rPr>
                <w:rFonts w:cs="Arial"/>
                <w:sz w:val="16"/>
                <w:szCs w:val="16"/>
              </w:rPr>
              <w:t>NR Band n1, n3, n7, n8, n18, n20, n28, n34, n38, n39, n40, n50, n51, n53, n65, n67, n74, n75, n76, n90, n91, n92, n93, n94</w:t>
            </w:r>
            <w:r>
              <w:rPr>
                <w:rFonts w:eastAsia="宋体" w:cs="Arial"/>
                <w:sz w:val="16"/>
                <w:szCs w:val="16"/>
                <w:lang w:eastAsia="zh-CN"/>
              </w:rPr>
              <w:t>, n105, n106, n109</w:t>
            </w:r>
          </w:p>
        </w:tc>
        <w:tc>
          <w:tcPr>
            <w:tcW w:w="772" w:type="dxa"/>
            <w:tcBorders>
              <w:top w:val="single" w:color="auto" w:sz="6" w:space="0"/>
              <w:left w:val="single" w:color="auto" w:sz="6" w:space="0"/>
              <w:bottom w:val="single" w:color="auto" w:sz="6" w:space="0"/>
              <w:right w:val="single" w:color="auto" w:sz="6" w:space="0"/>
            </w:tcBorders>
            <w:vAlign w:val="center"/>
          </w:tcPr>
          <w:p w14:paraId="3539BDF4">
            <w:pPr>
              <w:pStyle w:val="67"/>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14:paraId="033914D5">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3FE0E507">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31BF197C">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B416FA9">
            <w:pPr>
              <w:pStyle w:val="54"/>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6865500D">
            <w:pPr>
              <w:pStyle w:val="54"/>
              <w:rPr>
                <w:rFonts w:cs="Arial"/>
                <w:sz w:val="16"/>
                <w:szCs w:val="16"/>
              </w:rPr>
            </w:pPr>
          </w:p>
        </w:tc>
      </w:tr>
      <w:tr w14:paraId="18A548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left w:val="single" w:color="auto" w:sz="4" w:space="0"/>
              <w:right w:val="single" w:color="auto" w:sz="6" w:space="0"/>
            </w:tcBorders>
            <w:vAlign w:val="center"/>
          </w:tcPr>
          <w:p w14:paraId="1B1A904A">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651E2A64">
            <w:pPr>
              <w:pStyle w:val="55"/>
              <w:rPr>
                <w:rFonts w:cs="Arial"/>
                <w:sz w:val="16"/>
                <w:szCs w:val="16"/>
              </w:rPr>
            </w:pPr>
            <w:r>
              <w:rPr>
                <w:rFonts w:cs="Arial"/>
                <w:sz w:val="16"/>
                <w:szCs w:val="16"/>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14:paraId="514D316B">
            <w:pPr>
              <w:pStyle w:val="67"/>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14:paraId="196DAFB6">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1FFAAACB">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6E76E0C5">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6199DA27">
            <w:pPr>
              <w:pStyle w:val="54"/>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6652FC48">
            <w:pPr>
              <w:pStyle w:val="54"/>
              <w:rPr>
                <w:rFonts w:cs="Arial"/>
                <w:sz w:val="16"/>
                <w:szCs w:val="16"/>
              </w:rPr>
            </w:pPr>
            <w:r>
              <w:rPr>
                <w:rFonts w:cs="Arial"/>
                <w:sz w:val="16"/>
                <w:szCs w:val="16"/>
              </w:rPr>
              <w:t>2</w:t>
            </w:r>
          </w:p>
        </w:tc>
      </w:tr>
      <w:tr w14:paraId="7C8841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237" w:author="CMCC-Luyang Zhao" w:date="2025-05-07T15:37:34Z"/>
        </w:trPr>
        <w:tc>
          <w:tcPr>
            <w:tcW w:w="959" w:type="dxa"/>
            <w:vMerge w:val="continue"/>
            <w:tcBorders>
              <w:left w:val="single" w:color="auto" w:sz="4" w:space="0"/>
              <w:right w:val="single" w:color="auto" w:sz="6" w:space="0"/>
            </w:tcBorders>
            <w:vAlign w:val="center"/>
          </w:tcPr>
          <w:p w14:paraId="5CC0C341">
            <w:pPr>
              <w:spacing w:after="0"/>
              <w:rPr>
                <w:ins w:id="238" w:author="CMCC-Luyang Zhao" w:date="2025-05-07T15:37:34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1C7CD321">
            <w:pPr>
              <w:pStyle w:val="55"/>
              <w:rPr>
                <w:ins w:id="239" w:author="CMCC-Luyang Zhao" w:date="2025-05-07T15:37:34Z"/>
                <w:rFonts w:cs="Arial"/>
                <w:sz w:val="16"/>
                <w:szCs w:val="16"/>
              </w:rPr>
            </w:pPr>
            <w:ins w:id="240" w:author="CMCC-Luyang Zhao" w:date="2025-05-07T15:38:01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553CE2BB">
            <w:pPr>
              <w:pStyle w:val="67"/>
              <w:rPr>
                <w:ins w:id="241" w:author="CMCC-Luyang Zhao" w:date="2025-05-07T15:37:34Z"/>
                <w:rFonts w:cs="Arial"/>
                <w:sz w:val="16"/>
                <w:szCs w:val="16"/>
              </w:rPr>
            </w:pPr>
            <w:ins w:id="242" w:author="CMCC-Luyang Zhao" w:date="2025-05-07T15:38:07Z">
              <w:r>
                <w:rPr>
                  <w:rFonts w:cs="Arial"/>
                  <w:sz w:val="16"/>
                  <w:szCs w:val="16"/>
                </w:rPr>
                <w:t>1621.5</w:t>
              </w:r>
            </w:ins>
          </w:p>
        </w:tc>
        <w:tc>
          <w:tcPr>
            <w:tcW w:w="362" w:type="dxa"/>
            <w:tcBorders>
              <w:top w:val="single" w:color="auto" w:sz="6" w:space="0"/>
              <w:left w:val="single" w:color="auto" w:sz="6" w:space="0"/>
              <w:bottom w:val="single" w:color="auto" w:sz="6" w:space="0"/>
              <w:right w:val="single" w:color="auto" w:sz="6" w:space="0"/>
            </w:tcBorders>
            <w:vAlign w:val="center"/>
          </w:tcPr>
          <w:p w14:paraId="7927CDD7">
            <w:pPr>
              <w:pStyle w:val="54"/>
              <w:rPr>
                <w:ins w:id="243" w:author="CMCC-Luyang Zhao" w:date="2025-05-07T15:37:34Z"/>
                <w:rFonts w:cs="Arial"/>
                <w:sz w:val="16"/>
                <w:szCs w:val="16"/>
              </w:rPr>
            </w:pPr>
            <w:ins w:id="244" w:author="CMCC-Luyang Zhao" w:date="2025-05-07T15:38:09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2C666AA6">
            <w:pPr>
              <w:pStyle w:val="55"/>
              <w:rPr>
                <w:ins w:id="245" w:author="CMCC-Luyang Zhao" w:date="2025-05-07T15:37:34Z"/>
                <w:rFonts w:cs="Arial"/>
                <w:sz w:val="16"/>
                <w:szCs w:val="16"/>
              </w:rPr>
            </w:pPr>
            <w:ins w:id="246" w:author="CMCC-Luyang Zhao" w:date="2025-05-07T15:38:45Z">
              <w:r>
                <w:rPr>
                  <w:rFonts w:cs="Arial"/>
                  <w:sz w:val="16"/>
                  <w:szCs w:val="16"/>
                </w:rPr>
                <w:t>1624.5</w:t>
              </w:r>
            </w:ins>
          </w:p>
        </w:tc>
        <w:tc>
          <w:tcPr>
            <w:tcW w:w="1133" w:type="dxa"/>
            <w:tcBorders>
              <w:top w:val="single" w:color="auto" w:sz="6" w:space="0"/>
              <w:left w:val="single" w:color="auto" w:sz="6" w:space="0"/>
              <w:bottom w:val="single" w:color="auto" w:sz="6" w:space="0"/>
              <w:right w:val="single" w:color="auto" w:sz="6" w:space="0"/>
            </w:tcBorders>
            <w:vAlign w:val="center"/>
          </w:tcPr>
          <w:p w14:paraId="2496B13A">
            <w:pPr>
              <w:pStyle w:val="54"/>
              <w:rPr>
                <w:ins w:id="247" w:author="CMCC-Luyang Zhao" w:date="2025-05-07T15:37:34Z"/>
                <w:rFonts w:cs="Arial"/>
                <w:sz w:val="16"/>
                <w:szCs w:val="16"/>
              </w:rPr>
            </w:pPr>
            <w:ins w:id="248" w:author="CMCC-Luyang Zhao" w:date="2025-05-07T15:39:12Z">
              <w:r>
                <w:rPr>
                  <w:rFonts w:cs="Arial"/>
                  <w:sz w:val="16"/>
                  <w:szCs w:val="16"/>
                </w:rPr>
                <w:t>-30</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356704A3">
            <w:pPr>
              <w:pStyle w:val="54"/>
              <w:rPr>
                <w:ins w:id="249" w:author="CMCC-Luyang Zhao" w:date="2025-05-07T15:37:34Z"/>
                <w:rFonts w:cs="Arial"/>
                <w:sz w:val="16"/>
                <w:szCs w:val="16"/>
              </w:rPr>
            </w:pPr>
            <w:ins w:id="250" w:author="CMCC-Luyang Zhao" w:date="2025-05-07T15:39:43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3CF93612">
            <w:pPr>
              <w:pStyle w:val="54"/>
              <w:rPr>
                <w:ins w:id="251" w:author="CMCC-Luyang Zhao" w:date="2025-05-07T15:37:34Z"/>
                <w:rFonts w:cs="Arial"/>
                <w:sz w:val="16"/>
                <w:szCs w:val="16"/>
              </w:rPr>
            </w:pPr>
            <w:ins w:id="252" w:author="CMCC-Luyang Zhao" w:date="2025-05-07T15:39:51Z">
              <w:r>
                <w:rPr>
                  <w:rFonts w:cs="Arial"/>
                  <w:sz w:val="16"/>
                  <w:szCs w:val="16"/>
                </w:rPr>
                <w:t>5</w:t>
              </w:r>
            </w:ins>
          </w:p>
        </w:tc>
      </w:tr>
      <w:tr w14:paraId="47BF90A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253" w:author="CMCC-Luyang Zhao" w:date="2025-05-07T15:37:34Z"/>
        </w:trPr>
        <w:tc>
          <w:tcPr>
            <w:tcW w:w="959" w:type="dxa"/>
            <w:vMerge w:val="continue"/>
            <w:tcBorders>
              <w:left w:val="single" w:color="auto" w:sz="4" w:space="0"/>
              <w:right w:val="single" w:color="auto" w:sz="6" w:space="0"/>
            </w:tcBorders>
            <w:vAlign w:val="center"/>
          </w:tcPr>
          <w:p w14:paraId="5E39C7A6">
            <w:pPr>
              <w:spacing w:after="0"/>
              <w:rPr>
                <w:ins w:id="254" w:author="CMCC-Luyang Zhao" w:date="2025-05-07T15:37:34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4DE877A7">
            <w:pPr>
              <w:pStyle w:val="55"/>
              <w:rPr>
                <w:ins w:id="255" w:author="CMCC-Luyang Zhao" w:date="2025-05-07T15:37:34Z"/>
                <w:rFonts w:cs="Arial"/>
                <w:sz w:val="16"/>
                <w:szCs w:val="16"/>
              </w:rPr>
            </w:pPr>
            <w:ins w:id="256" w:author="CMCC-Luyang Zhao" w:date="2025-05-07T15:38:02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6B17EE66">
            <w:pPr>
              <w:pStyle w:val="67"/>
              <w:rPr>
                <w:ins w:id="257" w:author="CMCC-Luyang Zhao" w:date="2025-05-07T15:37:34Z"/>
                <w:rFonts w:cs="Arial"/>
                <w:sz w:val="16"/>
                <w:szCs w:val="16"/>
              </w:rPr>
            </w:pPr>
            <w:ins w:id="258" w:author="CMCC-Luyang Zhao" w:date="2025-05-07T15:38:18Z">
              <w:r>
                <w:rPr>
                  <w:rFonts w:cs="Arial"/>
                  <w:sz w:val="16"/>
                  <w:szCs w:val="16"/>
                </w:rPr>
                <w:t>1624.5</w:t>
              </w:r>
            </w:ins>
          </w:p>
        </w:tc>
        <w:tc>
          <w:tcPr>
            <w:tcW w:w="362" w:type="dxa"/>
            <w:tcBorders>
              <w:top w:val="single" w:color="auto" w:sz="6" w:space="0"/>
              <w:left w:val="single" w:color="auto" w:sz="6" w:space="0"/>
              <w:bottom w:val="single" w:color="auto" w:sz="6" w:space="0"/>
              <w:right w:val="single" w:color="auto" w:sz="6" w:space="0"/>
            </w:tcBorders>
            <w:vAlign w:val="center"/>
          </w:tcPr>
          <w:p w14:paraId="657722F2">
            <w:pPr>
              <w:pStyle w:val="54"/>
              <w:rPr>
                <w:ins w:id="259" w:author="CMCC-Luyang Zhao" w:date="2025-05-07T15:37:34Z"/>
                <w:rFonts w:cs="Arial"/>
                <w:sz w:val="16"/>
                <w:szCs w:val="16"/>
              </w:rPr>
            </w:pPr>
            <w:ins w:id="260" w:author="CMCC-Luyang Zhao" w:date="2025-05-07T15:38:1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7F115B9C">
            <w:pPr>
              <w:pStyle w:val="55"/>
              <w:rPr>
                <w:ins w:id="261" w:author="CMCC-Luyang Zhao" w:date="2025-05-07T15:37:34Z"/>
                <w:rFonts w:cs="Arial"/>
                <w:sz w:val="16"/>
                <w:szCs w:val="16"/>
              </w:rPr>
            </w:pPr>
            <w:ins w:id="262" w:author="CMCC-Luyang Zhao" w:date="2025-05-07T15:38:49Z">
              <w:r>
                <w:rPr>
                  <w:rFonts w:cs="Arial"/>
                  <w:sz w:val="16"/>
                  <w:szCs w:val="16"/>
                </w:rPr>
                <w:t>1625</w:t>
              </w:r>
            </w:ins>
          </w:p>
        </w:tc>
        <w:tc>
          <w:tcPr>
            <w:tcW w:w="1133" w:type="dxa"/>
            <w:tcBorders>
              <w:top w:val="single" w:color="auto" w:sz="6" w:space="0"/>
              <w:left w:val="single" w:color="auto" w:sz="6" w:space="0"/>
              <w:bottom w:val="single" w:color="auto" w:sz="6" w:space="0"/>
              <w:right w:val="single" w:color="auto" w:sz="6" w:space="0"/>
            </w:tcBorders>
            <w:vAlign w:val="center"/>
          </w:tcPr>
          <w:p w14:paraId="7753F5E2">
            <w:pPr>
              <w:pStyle w:val="54"/>
              <w:rPr>
                <w:ins w:id="263" w:author="CMCC-Luyang Zhao" w:date="2025-05-07T15:37:34Z"/>
                <w:rFonts w:cs="Arial"/>
                <w:sz w:val="16"/>
                <w:szCs w:val="16"/>
              </w:rPr>
            </w:pPr>
            <w:ins w:id="264" w:author="CMCC-Luyang Zhao" w:date="2025-05-07T15:39:16Z">
              <w:r>
                <w:rPr>
                  <w:rFonts w:cs="Arial"/>
                  <w:sz w:val="16"/>
                  <w:szCs w:val="16"/>
                </w:rPr>
                <w:t>-30 to -27.5</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70BF00EC">
            <w:pPr>
              <w:pStyle w:val="54"/>
              <w:rPr>
                <w:ins w:id="265" w:author="CMCC-Luyang Zhao" w:date="2025-05-07T15:37:34Z"/>
                <w:rFonts w:cs="Arial"/>
                <w:sz w:val="16"/>
                <w:szCs w:val="16"/>
              </w:rPr>
            </w:pPr>
            <w:ins w:id="266" w:author="CMCC-Luyang Zhao" w:date="2025-05-07T15:39:44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271346AB">
            <w:pPr>
              <w:pStyle w:val="54"/>
              <w:rPr>
                <w:ins w:id="267" w:author="CMCC-Luyang Zhao" w:date="2025-05-07T15:37:34Z"/>
                <w:rFonts w:cs="Arial"/>
                <w:sz w:val="16"/>
                <w:szCs w:val="16"/>
              </w:rPr>
            </w:pPr>
            <w:ins w:id="268" w:author="CMCC-Luyang Zhao" w:date="2025-05-07T15:39:55Z">
              <w:r>
                <w:rPr>
                  <w:rFonts w:cs="Arial"/>
                  <w:sz w:val="16"/>
                  <w:szCs w:val="16"/>
                </w:rPr>
                <w:t>4, 5</w:t>
              </w:r>
            </w:ins>
          </w:p>
        </w:tc>
      </w:tr>
      <w:tr w14:paraId="6D430E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269" w:author="CMCC-Luyang Zhao" w:date="2025-05-07T15:37:35Z"/>
        </w:trPr>
        <w:tc>
          <w:tcPr>
            <w:tcW w:w="959" w:type="dxa"/>
            <w:vMerge w:val="continue"/>
            <w:tcBorders>
              <w:left w:val="single" w:color="auto" w:sz="4" w:space="0"/>
              <w:right w:val="single" w:color="auto" w:sz="6" w:space="0"/>
            </w:tcBorders>
            <w:vAlign w:val="center"/>
          </w:tcPr>
          <w:p w14:paraId="1DDE1948">
            <w:pPr>
              <w:spacing w:after="0"/>
              <w:rPr>
                <w:ins w:id="270" w:author="CMCC-Luyang Zhao" w:date="2025-05-07T15:37:35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0295802A">
            <w:pPr>
              <w:pStyle w:val="55"/>
              <w:rPr>
                <w:ins w:id="271" w:author="CMCC-Luyang Zhao" w:date="2025-05-07T15:37:35Z"/>
                <w:rFonts w:cs="Arial"/>
                <w:sz w:val="16"/>
                <w:szCs w:val="16"/>
              </w:rPr>
            </w:pPr>
            <w:ins w:id="272" w:author="CMCC-Luyang Zhao" w:date="2025-05-07T15:38:02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4039FF1F">
            <w:pPr>
              <w:pStyle w:val="67"/>
              <w:rPr>
                <w:ins w:id="273" w:author="CMCC-Luyang Zhao" w:date="2025-05-07T15:37:35Z"/>
                <w:rFonts w:cs="Arial"/>
                <w:sz w:val="16"/>
                <w:szCs w:val="16"/>
              </w:rPr>
            </w:pPr>
            <w:ins w:id="274" w:author="CMCC-Luyang Zhao" w:date="2025-05-07T15:38:23Z">
              <w:r>
                <w:rPr>
                  <w:rFonts w:cs="Arial"/>
                  <w:sz w:val="16"/>
                  <w:szCs w:val="16"/>
                </w:rPr>
                <w:t>1625</w:t>
              </w:r>
            </w:ins>
          </w:p>
        </w:tc>
        <w:tc>
          <w:tcPr>
            <w:tcW w:w="362" w:type="dxa"/>
            <w:tcBorders>
              <w:top w:val="single" w:color="auto" w:sz="6" w:space="0"/>
              <w:left w:val="single" w:color="auto" w:sz="6" w:space="0"/>
              <w:bottom w:val="single" w:color="auto" w:sz="6" w:space="0"/>
              <w:right w:val="single" w:color="auto" w:sz="6" w:space="0"/>
            </w:tcBorders>
            <w:vAlign w:val="center"/>
          </w:tcPr>
          <w:p w14:paraId="6D9CD70E">
            <w:pPr>
              <w:pStyle w:val="54"/>
              <w:rPr>
                <w:ins w:id="275" w:author="CMCC-Luyang Zhao" w:date="2025-05-07T15:37:35Z"/>
                <w:rFonts w:cs="Arial"/>
                <w:sz w:val="16"/>
                <w:szCs w:val="16"/>
              </w:rPr>
            </w:pPr>
            <w:ins w:id="276" w:author="CMCC-Luyang Zhao" w:date="2025-05-07T15:38:10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5B2981C2">
            <w:pPr>
              <w:pStyle w:val="55"/>
              <w:rPr>
                <w:ins w:id="277" w:author="CMCC-Luyang Zhao" w:date="2025-05-07T15:37:35Z"/>
                <w:rFonts w:cs="Arial"/>
                <w:sz w:val="16"/>
                <w:szCs w:val="16"/>
              </w:rPr>
            </w:pPr>
            <w:ins w:id="278" w:author="CMCC-Luyang Zhao" w:date="2025-05-07T15:38:53Z">
              <w:r>
                <w:rPr>
                  <w:rFonts w:cs="Arial"/>
                  <w:sz w:val="16"/>
                  <w:szCs w:val="16"/>
                </w:rPr>
                <w:t>1625.125</w:t>
              </w:r>
            </w:ins>
          </w:p>
        </w:tc>
        <w:tc>
          <w:tcPr>
            <w:tcW w:w="1133" w:type="dxa"/>
            <w:tcBorders>
              <w:top w:val="single" w:color="auto" w:sz="6" w:space="0"/>
              <w:left w:val="single" w:color="auto" w:sz="6" w:space="0"/>
              <w:bottom w:val="single" w:color="auto" w:sz="6" w:space="0"/>
              <w:right w:val="single" w:color="auto" w:sz="6" w:space="0"/>
            </w:tcBorders>
            <w:vAlign w:val="center"/>
          </w:tcPr>
          <w:p w14:paraId="67AA3F78">
            <w:pPr>
              <w:pStyle w:val="54"/>
              <w:rPr>
                <w:ins w:id="279" w:author="CMCC-Luyang Zhao" w:date="2025-05-07T15:37:35Z"/>
                <w:rFonts w:cs="Arial"/>
                <w:sz w:val="16"/>
                <w:szCs w:val="16"/>
              </w:rPr>
            </w:pPr>
            <w:ins w:id="280" w:author="CMCC-Luyang Zhao" w:date="2025-05-07T15:39:20Z">
              <w:r>
                <w:rPr>
                  <w:rFonts w:cs="Arial"/>
                  <w:sz w:val="16"/>
                  <w:szCs w:val="16"/>
                </w:rPr>
                <w:t>-27.5 to -27.2</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27EE4D98">
            <w:pPr>
              <w:pStyle w:val="54"/>
              <w:rPr>
                <w:ins w:id="281" w:author="CMCC-Luyang Zhao" w:date="2025-05-07T15:37:35Z"/>
                <w:rFonts w:cs="Arial"/>
                <w:sz w:val="16"/>
                <w:szCs w:val="16"/>
              </w:rPr>
            </w:pPr>
            <w:ins w:id="282" w:author="CMCC-Luyang Zhao" w:date="2025-05-07T15:39:44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5E5C7FF3">
            <w:pPr>
              <w:pStyle w:val="54"/>
              <w:rPr>
                <w:ins w:id="283" w:author="CMCC-Luyang Zhao" w:date="2025-05-07T15:37:35Z"/>
                <w:rFonts w:cs="Arial"/>
                <w:sz w:val="16"/>
                <w:szCs w:val="16"/>
              </w:rPr>
            </w:pPr>
            <w:ins w:id="284" w:author="CMCC-Luyang Zhao" w:date="2025-05-07T15:39:56Z">
              <w:r>
                <w:rPr>
                  <w:rFonts w:cs="Arial"/>
                  <w:sz w:val="16"/>
                  <w:szCs w:val="16"/>
                </w:rPr>
                <w:t>4, 5</w:t>
              </w:r>
            </w:ins>
          </w:p>
        </w:tc>
      </w:tr>
      <w:tr w14:paraId="1F5041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285" w:author="CMCC-Luyang Zhao" w:date="2025-05-07T15:37:36Z"/>
        </w:trPr>
        <w:tc>
          <w:tcPr>
            <w:tcW w:w="959" w:type="dxa"/>
            <w:vMerge w:val="continue"/>
            <w:tcBorders>
              <w:left w:val="single" w:color="auto" w:sz="4" w:space="0"/>
              <w:right w:val="single" w:color="auto" w:sz="6" w:space="0"/>
            </w:tcBorders>
            <w:vAlign w:val="center"/>
          </w:tcPr>
          <w:p w14:paraId="3821FCCC">
            <w:pPr>
              <w:spacing w:after="0"/>
              <w:rPr>
                <w:ins w:id="286" w:author="CMCC-Luyang Zhao" w:date="2025-05-07T15:37:36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3F8924F3">
            <w:pPr>
              <w:pStyle w:val="55"/>
              <w:rPr>
                <w:ins w:id="287" w:author="CMCC-Luyang Zhao" w:date="2025-05-07T15:37:36Z"/>
                <w:rFonts w:cs="Arial"/>
                <w:sz w:val="16"/>
                <w:szCs w:val="16"/>
              </w:rPr>
            </w:pPr>
            <w:ins w:id="288" w:author="CMCC-Luyang Zhao" w:date="2025-05-07T15:38:03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4FC5D3F5">
            <w:pPr>
              <w:pStyle w:val="67"/>
              <w:rPr>
                <w:ins w:id="289" w:author="CMCC-Luyang Zhao" w:date="2025-05-07T15:37:36Z"/>
                <w:rFonts w:cs="Arial"/>
                <w:sz w:val="16"/>
                <w:szCs w:val="16"/>
              </w:rPr>
            </w:pPr>
            <w:ins w:id="290" w:author="CMCC-Luyang Zhao" w:date="2025-05-07T15:38:27Z">
              <w:r>
                <w:rPr>
                  <w:rFonts w:cs="Arial"/>
                  <w:sz w:val="16"/>
                  <w:szCs w:val="16"/>
                </w:rPr>
                <w:t>1625.125</w:t>
              </w:r>
            </w:ins>
          </w:p>
        </w:tc>
        <w:tc>
          <w:tcPr>
            <w:tcW w:w="362" w:type="dxa"/>
            <w:tcBorders>
              <w:top w:val="single" w:color="auto" w:sz="6" w:space="0"/>
              <w:left w:val="single" w:color="auto" w:sz="6" w:space="0"/>
              <w:bottom w:val="single" w:color="auto" w:sz="6" w:space="0"/>
              <w:right w:val="single" w:color="auto" w:sz="6" w:space="0"/>
            </w:tcBorders>
            <w:vAlign w:val="center"/>
          </w:tcPr>
          <w:p w14:paraId="742324BE">
            <w:pPr>
              <w:pStyle w:val="54"/>
              <w:rPr>
                <w:ins w:id="291" w:author="CMCC-Luyang Zhao" w:date="2025-05-07T15:37:36Z"/>
                <w:rFonts w:cs="Arial"/>
                <w:sz w:val="16"/>
                <w:szCs w:val="16"/>
              </w:rPr>
            </w:pPr>
            <w:ins w:id="292" w:author="CMCC-Luyang Zhao" w:date="2025-05-07T15:38:13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6BA7A55B">
            <w:pPr>
              <w:pStyle w:val="55"/>
              <w:rPr>
                <w:ins w:id="293" w:author="CMCC-Luyang Zhao" w:date="2025-05-07T15:37:36Z"/>
                <w:rFonts w:cs="Arial"/>
                <w:sz w:val="16"/>
                <w:szCs w:val="16"/>
              </w:rPr>
            </w:pPr>
            <w:ins w:id="294" w:author="CMCC-Luyang Zhao" w:date="2025-05-07T15:38:57Z">
              <w:r>
                <w:rPr>
                  <w:rFonts w:cs="Arial"/>
                  <w:sz w:val="16"/>
                  <w:szCs w:val="16"/>
                </w:rPr>
                <w:t>1625.8</w:t>
              </w:r>
            </w:ins>
          </w:p>
        </w:tc>
        <w:tc>
          <w:tcPr>
            <w:tcW w:w="1133" w:type="dxa"/>
            <w:tcBorders>
              <w:top w:val="single" w:color="auto" w:sz="6" w:space="0"/>
              <w:left w:val="single" w:color="auto" w:sz="6" w:space="0"/>
              <w:bottom w:val="single" w:color="auto" w:sz="6" w:space="0"/>
              <w:right w:val="single" w:color="auto" w:sz="6" w:space="0"/>
            </w:tcBorders>
            <w:vAlign w:val="center"/>
          </w:tcPr>
          <w:p w14:paraId="7479DD68">
            <w:pPr>
              <w:pStyle w:val="54"/>
              <w:rPr>
                <w:ins w:id="295" w:author="CMCC-Luyang Zhao" w:date="2025-05-07T15:37:36Z"/>
                <w:rFonts w:cs="Arial"/>
                <w:sz w:val="16"/>
                <w:szCs w:val="16"/>
              </w:rPr>
            </w:pPr>
            <w:ins w:id="296" w:author="CMCC-Luyang Zhao" w:date="2025-05-07T15:39:24Z">
              <w:r>
                <w:rPr>
                  <w:rFonts w:cs="Arial"/>
                  <w:sz w:val="16"/>
                  <w:szCs w:val="16"/>
                </w:rPr>
                <w:t>-27.2 to -20</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4F187CCC">
            <w:pPr>
              <w:pStyle w:val="54"/>
              <w:rPr>
                <w:ins w:id="297" w:author="CMCC-Luyang Zhao" w:date="2025-05-07T15:37:36Z"/>
                <w:rFonts w:cs="Arial"/>
                <w:sz w:val="16"/>
                <w:szCs w:val="16"/>
              </w:rPr>
            </w:pPr>
            <w:ins w:id="298" w:author="CMCC-Luyang Zhao" w:date="2025-05-07T15:39:45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0E90BC20">
            <w:pPr>
              <w:pStyle w:val="54"/>
              <w:rPr>
                <w:ins w:id="299" w:author="CMCC-Luyang Zhao" w:date="2025-05-07T15:37:36Z"/>
                <w:rFonts w:cs="Arial"/>
                <w:sz w:val="16"/>
                <w:szCs w:val="16"/>
              </w:rPr>
            </w:pPr>
            <w:ins w:id="300" w:author="CMCC-Luyang Zhao" w:date="2025-05-07T15:39:56Z">
              <w:r>
                <w:rPr>
                  <w:rFonts w:cs="Arial"/>
                  <w:sz w:val="16"/>
                  <w:szCs w:val="16"/>
                </w:rPr>
                <w:t>4, 5</w:t>
              </w:r>
            </w:ins>
          </w:p>
        </w:tc>
      </w:tr>
      <w:tr w14:paraId="5FF80FA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301" w:author="CMCC-Luyang Zhao" w:date="2025-05-07T15:37:36Z"/>
        </w:trPr>
        <w:tc>
          <w:tcPr>
            <w:tcW w:w="959" w:type="dxa"/>
            <w:vMerge w:val="continue"/>
            <w:tcBorders>
              <w:left w:val="single" w:color="auto" w:sz="4" w:space="0"/>
              <w:right w:val="single" w:color="auto" w:sz="6" w:space="0"/>
            </w:tcBorders>
            <w:vAlign w:val="center"/>
          </w:tcPr>
          <w:p w14:paraId="7B6FF2B6">
            <w:pPr>
              <w:spacing w:after="0"/>
              <w:rPr>
                <w:ins w:id="302" w:author="CMCC-Luyang Zhao" w:date="2025-05-07T15:37:36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7E741477">
            <w:pPr>
              <w:pStyle w:val="55"/>
              <w:rPr>
                <w:ins w:id="303" w:author="CMCC-Luyang Zhao" w:date="2025-05-07T15:37:36Z"/>
                <w:rFonts w:cs="Arial"/>
                <w:sz w:val="16"/>
                <w:szCs w:val="16"/>
              </w:rPr>
            </w:pPr>
            <w:ins w:id="304" w:author="CMCC-Luyang Zhao" w:date="2025-05-07T15:38:03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246D1131">
            <w:pPr>
              <w:pStyle w:val="67"/>
              <w:rPr>
                <w:ins w:id="305" w:author="CMCC-Luyang Zhao" w:date="2025-05-07T15:37:36Z"/>
                <w:rFonts w:cs="Arial"/>
                <w:sz w:val="16"/>
                <w:szCs w:val="16"/>
              </w:rPr>
            </w:pPr>
            <w:ins w:id="306" w:author="CMCC-Luyang Zhao" w:date="2025-05-07T15:38:32Z">
              <w:r>
                <w:rPr>
                  <w:rFonts w:cs="Arial"/>
                  <w:sz w:val="16"/>
                  <w:szCs w:val="16"/>
                </w:rPr>
                <w:t>1625.8</w:t>
              </w:r>
            </w:ins>
          </w:p>
        </w:tc>
        <w:tc>
          <w:tcPr>
            <w:tcW w:w="362" w:type="dxa"/>
            <w:tcBorders>
              <w:top w:val="single" w:color="auto" w:sz="6" w:space="0"/>
              <w:left w:val="single" w:color="auto" w:sz="6" w:space="0"/>
              <w:bottom w:val="single" w:color="auto" w:sz="6" w:space="0"/>
              <w:right w:val="single" w:color="auto" w:sz="6" w:space="0"/>
            </w:tcBorders>
            <w:vAlign w:val="center"/>
          </w:tcPr>
          <w:p w14:paraId="79A95E80">
            <w:pPr>
              <w:pStyle w:val="54"/>
              <w:rPr>
                <w:ins w:id="307" w:author="CMCC-Luyang Zhao" w:date="2025-05-07T15:37:36Z"/>
                <w:rFonts w:cs="Arial"/>
                <w:sz w:val="16"/>
                <w:szCs w:val="16"/>
              </w:rPr>
            </w:pPr>
            <w:ins w:id="308" w:author="CMCC-Luyang Zhao" w:date="2025-05-07T15:38:14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6D9798E2">
            <w:pPr>
              <w:pStyle w:val="55"/>
              <w:rPr>
                <w:ins w:id="309" w:author="CMCC-Luyang Zhao" w:date="2025-05-07T15:37:36Z"/>
                <w:rFonts w:cs="Arial"/>
                <w:sz w:val="16"/>
                <w:szCs w:val="16"/>
              </w:rPr>
            </w:pPr>
            <w:ins w:id="310" w:author="CMCC-Luyang Zhao" w:date="2025-05-07T15:39:00Z">
              <w:r>
                <w:rPr>
                  <w:rFonts w:cs="Arial"/>
                  <w:sz w:val="16"/>
                  <w:szCs w:val="16"/>
                </w:rPr>
                <w:t>1626</w:t>
              </w:r>
            </w:ins>
          </w:p>
        </w:tc>
        <w:tc>
          <w:tcPr>
            <w:tcW w:w="1133" w:type="dxa"/>
            <w:tcBorders>
              <w:top w:val="single" w:color="auto" w:sz="6" w:space="0"/>
              <w:left w:val="single" w:color="auto" w:sz="6" w:space="0"/>
              <w:bottom w:val="single" w:color="auto" w:sz="6" w:space="0"/>
              <w:right w:val="single" w:color="auto" w:sz="6" w:space="0"/>
            </w:tcBorders>
            <w:vAlign w:val="center"/>
          </w:tcPr>
          <w:p w14:paraId="65504473">
            <w:pPr>
              <w:pStyle w:val="54"/>
              <w:rPr>
                <w:ins w:id="311" w:author="CMCC-Luyang Zhao" w:date="2025-05-07T15:37:36Z"/>
                <w:rFonts w:cs="Arial"/>
                <w:sz w:val="16"/>
                <w:szCs w:val="16"/>
              </w:rPr>
            </w:pPr>
            <w:ins w:id="312" w:author="CMCC-Luyang Zhao" w:date="2025-05-07T15:39:30Z">
              <w:r>
                <w:rPr>
                  <w:rFonts w:cs="Arial"/>
                  <w:sz w:val="16"/>
                  <w:szCs w:val="16"/>
                </w:rPr>
                <w:t>-20 to -17</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758BABE2">
            <w:pPr>
              <w:pStyle w:val="54"/>
              <w:rPr>
                <w:ins w:id="313" w:author="CMCC-Luyang Zhao" w:date="2025-05-07T15:37:36Z"/>
                <w:rFonts w:cs="Arial"/>
                <w:sz w:val="16"/>
                <w:szCs w:val="16"/>
              </w:rPr>
            </w:pPr>
            <w:ins w:id="314" w:author="CMCC-Luyang Zhao" w:date="2025-05-07T15:39:46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1A14A5A8">
            <w:pPr>
              <w:pStyle w:val="54"/>
              <w:rPr>
                <w:ins w:id="315" w:author="CMCC-Luyang Zhao" w:date="2025-05-07T15:37:36Z"/>
                <w:rFonts w:cs="Arial"/>
                <w:sz w:val="16"/>
                <w:szCs w:val="16"/>
              </w:rPr>
            </w:pPr>
            <w:ins w:id="316" w:author="CMCC-Luyang Zhao" w:date="2025-05-07T15:39:57Z">
              <w:r>
                <w:rPr>
                  <w:rFonts w:cs="Arial"/>
                  <w:sz w:val="16"/>
                  <w:szCs w:val="16"/>
                </w:rPr>
                <w:t>4, 5</w:t>
              </w:r>
            </w:ins>
          </w:p>
        </w:tc>
      </w:tr>
      <w:tr w14:paraId="3657F0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317" w:author="CMCC-Luyang Zhao" w:date="2025-05-07T15:37:37Z"/>
        </w:trPr>
        <w:tc>
          <w:tcPr>
            <w:tcW w:w="959" w:type="dxa"/>
            <w:vMerge w:val="continue"/>
            <w:tcBorders>
              <w:left w:val="single" w:color="auto" w:sz="4" w:space="0"/>
              <w:right w:val="single" w:color="auto" w:sz="6" w:space="0"/>
            </w:tcBorders>
            <w:vAlign w:val="center"/>
          </w:tcPr>
          <w:p w14:paraId="66A3CB15">
            <w:pPr>
              <w:spacing w:after="0"/>
              <w:rPr>
                <w:ins w:id="318" w:author="CMCC-Luyang Zhao" w:date="2025-05-07T15:37:37Z"/>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129DDE9B">
            <w:pPr>
              <w:pStyle w:val="55"/>
              <w:rPr>
                <w:ins w:id="319" w:author="CMCC-Luyang Zhao" w:date="2025-05-07T15:37:37Z"/>
                <w:rFonts w:cs="Arial"/>
                <w:sz w:val="16"/>
                <w:szCs w:val="16"/>
              </w:rPr>
            </w:pPr>
            <w:ins w:id="320" w:author="CMCC-Luyang Zhao" w:date="2025-05-07T15:38:04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515E18A3">
            <w:pPr>
              <w:pStyle w:val="67"/>
              <w:rPr>
                <w:ins w:id="321" w:author="CMCC-Luyang Zhao" w:date="2025-05-07T15:37:37Z"/>
                <w:rFonts w:cs="Arial"/>
                <w:sz w:val="16"/>
                <w:szCs w:val="16"/>
              </w:rPr>
            </w:pPr>
            <w:ins w:id="322" w:author="CMCC-Luyang Zhao" w:date="2025-05-07T15:38:37Z">
              <w:r>
                <w:rPr>
                  <w:rFonts w:cs="Arial"/>
                  <w:sz w:val="16"/>
                  <w:szCs w:val="16"/>
                </w:rPr>
                <w:t>1626</w:t>
              </w:r>
            </w:ins>
          </w:p>
        </w:tc>
        <w:tc>
          <w:tcPr>
            <w:tcW w:w="362" w:type="dxa"/>
            <w:tcBorders>
              <w:top w:val="single" w:color="auto" w:sz="6" w:space="0"/>
              <w:left w:val="single" w:color="auto" w:sz="6" w:space="0"/>
              <w:bottom w:val="single" w:color="auto" w:sz="6" w:space="0"/>
              <w:right w:val="single" w:color="auto" w:sz="6" w:space="0"/>
            </w:tcBorders>
            <w:vAlign w:val="center"/>
          </w:tcPr>
          <w:p w14:paraId="1C3A05B8">
            <w:pPr>
              <w:pStyle w:val="54"/>
              <w:rPr>
                <w:ins w:id="323" w:author="CMCC-Luyang Zhao" w:date="2025-05-07T15:37:37Z"/>
                <w:rFonts w:cs="Arial"/>
                <w:sz w:val="16"/>
                <w:szCs w:val="16"/>
              </w:rPr>
            </w:pPr>
            <w:ins w:id="324" w:author="CMCC-Luyang Zhao" w:date="2025-05-07T15:38:14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1F8E46A8">
            <w:pPr>
              <w:pStyle w:val="55"/>
              <w:rPr>
                <w:ins w:id="325" w:author="CMCC-Luyang Zhao" w:date="2025-05-07T15:37:37Z"/>
                <w:rFonts w:cs="Arial"/>
                <w:sz w:val="16"/>
                <w:szCs w:val="16"/>
              </w:rPr>
            </w:pPr>
            <w:ins w:id="326" w:author="CMCC-Luyang Zhao" w:date="2025-05-07T15:39:04Z">
              <w:r>
                <w:rPr>
                  <w:rFonts w:cs="Arial"/>
                  <w:sz w:val="16"/>
                  <w:szCs w:val="16"/>
                </w:rPr>
                <w:t>1626.2</w:t>
              </w:r>
            </w:ins>
          </w:p>
        </w:tc>
        <w:tc>
          <w:tcPr>
            <w:tcW w:w="1133" w:type="dxa"/>
            <w:tcBorders>
              <w:top w:val="single" w:color="auto" w:sz="6" w:space="0"/>
              <w:left w:val="single" w:color="auto" w:sz="6" w:space="0"/>
              <w:bottom w:val="single" w:color="auto" w:sz="6" w:space="0"/>
              <w:right w:val="single" w:color="auto" w:sz="6" w:space="0"/>
            </w:tcBorders>
            <w:vAlign w:val="center"/>
          </w:tcPr>
          <w:p w14:paraId="2DF6569F">
            <w:pPr>
              <w:pStyle w:val="54"/>
              <w:rPr>
                <w:ins w:id="327" w:author="CMCC-Luyang Zhao" w:date="2025-05-07T15:37:37Z"/>
                <w:rFonts w:cs="Arial"/>
                <w:sz w:val="16"/>
                <w:szCs w:val="16"/>
              </w:rPr>
            </w:pPr>
            <w:ins w:id="328" w:author="CMCC-Luyang Zhao" w:date="2025-05-07T15:39:34Z">
              <w:r>
                <w:rPr>
                  <w:rFonts w:cs="Arial"/>
                  <w:sz w:val="16"/>
                  <w:szCs w:val="16"/>
                </w:rPr>
                <w:t>-17 to -10</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1DC8CFAB">
            <w:pPr>
              <w:pStyle w:val="54"/>
              <w:rPr>
                <w:ins w:id="329" w:author="CMCC-Luyang Zhao" w:date="2025-05-07T15:37:37Z"/>
                <w:rFonts w:cs="Arial"/>
                <w:sz w:val="16"/>
                <w:szCs w:val="16"/>
              </w:rPr>
            </w:pPr>
            <w:ins w:id="330" w:author="CMCC-Luyang Zhao" w:date="2025-05-07T15:39:46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44CFE783">
            <w:pPr>
              <w:pStyle w:val="54"/>
              <w:rPr>
                <w:ins w:id="331" w:author="CMCC-Luyang Zhao" w:date="2025-05-07T15:37:37Z"/>
                <w:rFonts w:cs="Arial"/>
                <w:sz w:val="16"/>
                <w:szCs w:val="16"/>
              </w:rPr>
            </w:pPr>
            <w:ins w:id="332" w:author="CMCC-Luyang Zhao" w:date="2025-05-07T15:39:58Z">
              <w:r>
                <w:rPr>
                  <w:rFonts w:cs="Arial"/>
                  <w:sz w:val="16"/>
                  <w:szCs w:val="16"/>
                </w:rPr>
                <w:t>4, 5</w:t>
              </w:r>
            </w:ins>
          </w:p>
        </w:tc>
      </w:tr>
      <w:tr w14:paraId="75975BD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333" w:author="CMCC-Luyang Zhao" w:date="2025-05-07T15:37:29Z"/>
        </w:trPr>
        <w:tc>
          <w:tcPr>
            <w:tcW w:w="959" w:type="dxa"/>
            <w:vMerge w:val="continue"/>
            <w:tcBorders>
              <w:left w:val="single" w:color="auto" w:sz="4" w:space="0"/>
              <w:bottom w:val="single" w:color="auto" w:sz="6" w:space="0"/>
              <w:right w:val="single" w:color="auto" w:sz="6" w:space="0"/>
            </w:tcBorders>
          </w:tcPr>
          <w:p w14:paraId="354B1AC6">
            <w:pPr>
              <w:pStyle w:val="54"/>
              <w:rPr>
                <w:ins w:id="334" w:author="CMCC-Luyang Zhao" w:date="2025-05-07T15:37:29Z"/>
                <w:rFonts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26403111">
            <w:pPr>
              <w:pStyle w:val="55"/>
              <w:rPr>
                <w:ins w:id="335" w:author="CMCC-Luyang Zhao" w:date="2025-05-07T15:37:29Z"/>
                <w:rFonts w:cs="Arial"/>
                <w:sz w:val="16"/>
                <w:szCs w:val="16"/>
              </w:rPr>
            </w:pPr>
            <w:ins w:id="336" w:author="CMCC-Luyang Zhao" w:date="2025-05-07T15:38:04Z">
              <w:r>
                <w:rPr>
                  <w:rFonts w:cs="Arial"/>
                  <w:sz w:val="16"/>
                  <w:szCs w:val="16"/>
                  <w:lang w:val="sv-FI"/>
                </w:rPr>
                <w:t>Frequency range</w:t>
              </w:r>
            </w:ins>
          </w:p>
        </w:tc>
        <w:tc>
          <w:tcPr>
            <w:tcW w:w="772" w:type="dxa"/>
            <w:tcBorders>
              <w:top w:val="single" w:color="auto" w:sz="6" w:space="0"/>
              <w:left w:val="single" w:color="auto" w:sz="6" w:space="0"/>
              <w:bottom w:val="single" w:color="auto" w:sz="6" w:space="0"/>
              <w:right w:val="single" w:color="auto" w:sz="6" w:space="0"/>
            </w:tcBorders>
            <w:vAlign w:val="center"/>
          </w:tcPr>
          <w:p w14:paraId="539ABF72">
            <w:pPr>
              <w:pStyle w:val="67"/>
              <w:rPr>
                <w:ins w:id="337" w:author="CMCC-Luyang Zhao" w:date="2025-05-07T15:37:29Z"/>
                <w:rFonts w:cs="Arial"/>
                <w:sz w:val="16"/>
                <w:szCs w:val="16"/>
              </w:rPr>
            </w:pPr>
            <w:ins w:id="338" w:author="CMCC-Luyang Zhao" w:date="2025-05-07T15:38:40Z">
              <w:r>
                <w:rPr>
                  <w:rFonts w:cs="Arial"/>
                  <w:sz w:val="16"/>
                  <w:szCs w:val="16"/>
                </w:rPr>
                <w:t>1626.2</w:t>
              </w:r>
            </w:ins>
          </w:p>
        </w:tc>
        <w:tc>
          <w:tcPr>
            <w:tcW w:w="362" w:type="dxa"/>
            <w:tcBorders>
              <w:top w:val="single" w:color="auto" w:sz="6" w:space="0"/>
              <w:left w:val="single" w:color="auto" w:sz="6" w:space="0"/>
              <w:bottom w:val="single" w:color="auto" w:sz="6" w:space="0"/>
              <w:right w:val="single" w:color="auto" w:sz="6" w:space="0"/>
            </w:tcBorders>
            <w:vAlign w:val="center"/>
          </w:tcPr>
          <w:p w14:paraId="4C8B5EC4">
            <w:pPr>
              <w:pStyle w:val="54"/>
              <w:rPr>
                <w:ins w:id="339" w:author="CMCC-Luyang Zhao" w:date="2025-05-07T15:37:29Z"/>
                <w:rFonts w:cs="Arial"/>
                <w:sz w:val="16"/>
                <w:szCs w:val="16"/>
              </w:rPr>
            </w:pPr>
            <w:ins w:id="340" w:author="CMCC-Luyang Zhao" w:date="2025-05-07T15:38:15Z">
              <w:r>
                <w:rPr>
                  <w:rFonts w:cs="Arial"/>
                  <w:sz w:val="16"/>
                  <w:szCs w:val="16"/>
                </w:rPr>
                <w:t>-</w:t>
              </w:r>
            </w:ins>
          </w:p>
        </w:tc>
        <w:tc>
          <w:tcPr>
            <w:tcW w:w="772" w:type="dxa"/>
            <w:tcBorders>
              <w:top w:val="single" w:color="auto" w:sz="6" w:space="0"/>
              <w:left w:val="single" w:color="auto" w:sz="6" w:space="0"/>
              <w:bottom w:val="single" w:color="auto" w:sz="6" w:space="0"/>
              <w:right w:val="single" w:color="auto" w:sz="6" w:space="0"/>
            </w:tcBorders>
            <w:vAlign w:val="center"/>
          </w:tcPr>
          <w:p w14:paraId="3F757253">
            <w:pPr>
              <w:pStyle w:val="55"/>
              <w:rPr>
                <w:ins w:id="341" w:author="CMCC-Luyang Zhao" w:date="2025-05-07T15:37:29Z"/>
                <w:rFonts w:cs="Arial"/>
                <w:sz w:val="16"/>
                <w:szCs w:val="16"/>
              </w:rPr>
            </w:pPr>
            <w:ins w:id="342" w:author="CMCC-Luyang Zhao" w:date="2025-05-07T15:39:07Z">
              <w:r>
                <w:rPr>
                  <w:rFonts w:cs="Arial"/>
                  <w:sz w:val="16"/>
                  <w:szCs w:val="16"/>
                </w:rPr>
                <w:t>1626.5</w:t>
              </w:r>
            </w:ins>
          </w:p>
        </w:tc>
        <w:tc>
          <w:tcPr>
            <w:tcW w:w="1133" w:type="dxa"/>
            <w:tcBorders>
              <w:top w:val="single" w:color="auto" w:sz="6" w:space="0"/>
              <w:left w:val="single" w:color="auto" w:sz="6" w:space="0"/>
              <w:bottom w:val="single" w:color="auto" w:sz="6" w:space="0"/>
              <w:right w:val="single" w:color="auto" w:sz="6" w:space="0"/>
            </w:tcBorders>
            <w:vAlign w:val="center"/>
          </w:tcPr>
          <w:p w14:paraId="60348625">
            <w:pPr>
              <w:pStyle w:val="54"/>
              <w:rPr>
                <w:ins w:id="343" w:author="CMCC-Luyang Zhao" w:date="2025-05-07T15:37:29Z"/>
                <w:rFonts w:cs="Arial"/>
                <w:sz w:val="16"/>
                <w:szCs w:val="16"/>
              </w:rPr>
            </w:pPr>
            <w:ins w:id="344" w:author="CMCC-Luyang Zhao" w:date="2025-05-07T15:39:38Z">
              <w:r>
                <w:rPr>
                  <w:rFonts w:cs="Arial"/>
                  <w:sz w:val="16"/>
                  <w:szCs w:val="16"/>
                </w:rPr>
                <w:t>-10</w:t>
              </w:r>
            </w:ins>
          </w:p>
        </w:tc>
        <w:tc>
          <w:tcPr>
            <w:tcW w:w="850" w:type="dxa"/>
            <w:tcBorders>
              <w:top w:val="single" w:color="auto" w:sz="6" w:space="0"/>
              <w:left w:val="single" w:color="auto" w:sz="6" w:space="0"/>
              <w:bottom w:val="single" w:color="auto" w:sz="6" w:space="0"/>
              <w:right w:val="single" w:color="auto" w:sz="6" w:space="0"/>
            </w:tcBorders>
            <w:noWrap/>
            <w:vAlign w:val="center"/>
          </w:tcPr>
          <w:p w14:paraId="1E79B51C">
            <w:pPr>
              <w:pStyle w:val="54"/>
              <w:rPr>
                <w:ins w:id="345" w:author="CMCC-Luyang Zhao" w:date="2025-05-07T15:37:29Z"/>
                <w:rFonts w:cs="Arial"/>
                <w:sz w:val="16"/>
                <w:szCs w:val="16"/>
              </w:rPr>
            </w:pPr>
            <w:ins w:id="346" w:author="CMCC-Luyang Zhao" w:date="2025-05-07T15:39:47Z">
              <w:r>
                <w:rPr>
                  <w:rFonts w:cs="Arial"/>
                  <w:sz w:val="16"/>
                  <w:szCs w:val="16"/>
                </w:rPr>
                <w:t>0.03</w:t>
              </w:r>
            </w:ins>
          </w:p>
        </w:tc>
        <w:tc>
          <w:tcPr>
            <w:tcW w:w="928" w:type="dxa"/>
            <w:tcBorders>
              <w:top w:val="single" w:color="auto" w:sz="6" w:space="0"/>
              <w:left w:val="single" w:color="auto" w:sz="6" w:space="0"/>
              <w:bottom w:val="single" w:color="auto" w:sz="6" w:space="0"/>
              <w:right w:val="single" w:color="auto" w:sz="4" w:space="0"/>
            </w:tcBorders>
            <w:noWrap/>
            <w:vAlign w:val="center"/>
          </w:tcPr>
          <w:p w14:paraId="1A6761CD">
            <w:pPr>
              <w:pStyle w:val="54"/>
              <w:rPr>
                <w:ins w:id="347" w:author="CMCC-Luyang Zhao" w:date="2025-05-07T15:37:29Z"/>
                <w:rFonts w:cs="Arial"/>
                <w:sz w:val="16"/>
                <w:szCs w:val="16"/>
              </w:rPr>
            </w:pPr>
            <w:ins w:id="348" w:author="CMCC-Luyang Zhao" w:date="2025-05-07T15:39:51Z">
              <w:r>
                <w:rPr>
                  <w:rFonts w:cs="Arial"/>
                  <w:sz w:val="16"/>
                  <w:szCs w:val="16"/>
                </w:rPr>
                <w:t>5</w:t>
              </w:r>
            </w:ins>
          </w:p>
        </w:tc>
      </w:tr>
      <w:tr w14:paraId="1FF1B88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14:paraId="17DB1106">
            <w:pPr>
              <w:pStyle w:val="54"/>
              <w:rPr>
                <w:rFonts w:cs="Arial"/>
                <w:sz w:val="16"/>
                <w:szCs w:val="16"/>
              </w:rPr>
            </w:pPr>
            <w:r>
              <w:rPr>
                <w:rFonts w:cs="Arial"/>
                <w:sz w:val="16"/>
                <w:szCs w:val="16"/>
              </w:rPr>
              <w:t>256</w:t>
            </w:r>
          </w:p>
        </w:tc>
        <w:tc>
          <w:tcPr>
            <w:tcW w:w="3164" w:type="dxa"/>
            <w:tcBorders>
              <w:top w:val="single" w:color="auto" w:sz="6" w:space="0"/>
              <w:left w:val="single" w:color="auto" w:sz="6" w:space="0"/>
              <w:bottom w:val="single" w:color="auto" w:sz="6" w:space="0"/>
              <w:right w:val="single" w:color="auto" w:sz="6" w:space="0"/>
            </w:tcBorders>
            <w:vAlign w:val="center"/>
          </w:tcPr>
          <w:p w14:paraId="0C8942FD">
            <w:pPr>
              <w:pStyle w:val="55"/>
              <w:rPr>
                <w:rFonts w:cs="Arial"/>
                <w:sz w:val="16"/>
                <w:szCs w:val="16"/>
              </w:rPr>
            </w:pPr>
            <w:r>
              <w:rPr>
                <w:rFonts w:cs="Arial"/>
                <w:sz w:val="16"/>
                <w:szCs w:val="16"/>
              </w:rPr>
              <w:t>E-UTRA Band 1, 3, 5,7, 8, 11, 18, 19, 20, 21, 22, 26, 27, 28, 31, 33, 32, 35, 38, 40, 41, 42, 43, 50, 51, 54, 65, 68, 69, 72</w:t>
            </w:r>
            <w:r>
              <w:rPr>
                <w:rFonts w:cs="Arial"/>
                <w:sz w:val="16"/>
                <w:szCs w:val="16"/>
                <w:lang w:eastAsia="ja-JP"/>
              </w:rPr>
              <w:t>, 74</w:t>
            </w:r>
            <w:r>
              <w:rPr>
                <w:rFonts w:cs="Arial"/>
                <w:sz w:val="16"/>
                <w:szCs w:val="16"/>
              </w:rPr>
              <w:t>, 75, 76, 87, 88</w:t>
            </w:r>
          </w:p>
          <w:p w14:paraId="188DD5E3">
            <w:pPr>
              <w:pStyle w:val="55"/>
              <w:rPr>
                <w:rFonts w:cs="Arial"/>
                <w:sz w:val="16"/>
                <w:szCs w:val="16"/>
              </w:rPr>
            </w:pPr>
            <w:r>
              <w:rPr>
                <w:rFonts w:cs="Arial"/>
                <w:sz w:val="16"/>
                <w:szCs w:val="16"/>
              </w:rPr>
              <w:t>NR Band n12, n13, n14, n24, n29, n30,  n39, n48, n53, n66, n67, n71, n78, n79, n85, n90, n91, n92, n93, n94, n101</w:t>
            </w:r>
            <w:r>
              <w:rPr>
                <w:rFonts w:eastAsia="宋体" w:cs="Arial"/>
                <w:sz w:val="16"/>
                <w:szCs w:val="16"/>
                <w:lang w:eastAsia="zh-CN"/>
              </w:rPr>
              <w:t>, n105, n106, n109</w:t>
            </w:r>
          </w:p>
        </w:tc>
        <w:tc>
          <w:tcPr>
            <w:tcW w:w="772" w:type="dxa"/>
            <w:tcBorders>
              <w:top w:val="single" w:color="auto" w:sz="6" w:space="0"/>
              <w:left w:val="single" w:color="auto" w:sz="6" w:space="0"/>
              <w:bottom w:val="single" w:color="auto" w:sz="6" w:space="0"/>
              <w:right w:val="single" w:color="auto" w:sz="6" w:space="0"/>
            </w:tcBorders>
            <w:vAlign w:val="center"/>
          </w:tcPr>
          <w:p w14:paraId="1453308C">
            <w:pPr>
              <w:pStyle w:val="67"/>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14:paraId="567A1E7C">
            <w:pPr>
              <w:pStyle w:val="54"/>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14:paraId="25F05AA8">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10D2B02F">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7DBDA3AF">
            <w:pPr>
              <w:pStyle w:val="54"/>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6F3D5BA5">
            <w:pPr>
              <w:pStyle w:val="54"/>
              <w:rPr>
                <w:rFonts w:cs="Arial"/>
                <w:sz w:val="16"/>
                <w:szCs w:val="16"/>
              </w:rPr>
            </w:pPr>
          </w:p>
        </w:tc>
      </w:tr>
      <w:tr w14:paraId="244216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17403EE7">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16B9D812">
            <w:pPr>
              <w:pStyle w:val="55"/>
              <w:rPr>
                <w:rFonts w:cs="Arial"/>
                <w:sz w:val="16"/>
                <w:szCs w:val="16"/>
              </w:rPr>
            </w:pPr>
            <w:r>
              <w:rPr>
                <w:rFonts w:cs="Arial"/>
                <w:sz w:val="16"/>
                <w:szCs w:val="16"/>
              </w:rPr>
              <w:t>NR Band n77</w:t>
            </w:r>
          </w:p>
        </w:tc>
        <w:tc>
          <w:tcPr>
            <w:tcW w:w="772" w:type="dxa"/>
            <w:tcBorders>
              <w:top w:val="single" w:color="auto" w:sz="6" w:space="0"/>
              <w:left w:val="single" w:color="auto" w:sz="6" w:space="0"/>
              <w:bottom w:val="single" w:color="auto" w:sz="6" w:space="0"/>
              <w:right w:val="single" w:color="auto" w:sz="6" w:space="0"/>
            </w:tcBorders>
            <w:vAlign w:val="bottom"/>
          </w:tcPr>
          <w:p w14:paraId="72A2EE32">
            <w:pPr>
              <w:pStyle w:val="67"/>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14:paraId="6F98F530">
            <w:pPr>
              <w:pStyle w:val="54"/>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14:paraId="5A032A8C">
            <w:pPr>
              <w:pStyle w:val="55"/>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46841D4B">
            <w:pPr>
              <w:pStyle w:val="54"/>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55649751">
            <w:pPr>
              <w:pStyle w:val="54"/>
              <w:rPr>
                <w:rFonts w:cs="Arial"/>
                <w:sz w:val="16"/>
                <w:szCs w:val="16"/>
              </w:rPr>
            </w:pPr>
            <w:r>
              <w:rPr>
                <w:rFonts w:cs="Arial"/>
                <w:sz w:val="16"/>
                <w:szCs w:val="16"/>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0F0DECCC">
            <w:pPr>
              <w:pStyle w:val="54"/>
              <w:rPr>
                <w:rFonts w:cs="Arial"/>
                <w:sz w:val="16"/>
                <w:szCs w:val="16"/>
              </w:rPr>
            </w:pPr>
            <w:r>
              <w:rPr>
                <w:rFonts w:cs="Arial"/>
                <w:sz w:val="16"/>
                <w:szCs w:val="16"/>
              </w:rPr>
              <w:t>2</w:t>
            </w:r>
          </w:p>
        </w:tc>
      </w:tr>
      <w:tr w14:paraId="26EECE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1676E44F">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bottom"/>
          </w:tcPr>
          <w:p w14:paraId="6A216C7C">
            <w:pPr>
              <w:pStyle w:val="55"/>
              <w:rPr>
                <w:rFonts w:cs="Arial"/>
                <w:sz w:val="16"/>
                <w:szCs w:val="16"/>
                <w:lang w:eastAsia="ja-JP"/>
              </w:rPr>
            </w:pPr>
            <w:r>
              <w:rPr>
                <w:rFonts w:cs="Arial"/>
                <w:sz w:val="16"/>
                <w:szCs w:val="16"/>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14:paraId="1F4BBD52">
            <w:pPr>
              <w:pStyle w:val="67"/>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14:paraId="37AAB853">
            <w:pPr>
              <w:pStyle w:val="54"/>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14:paraId="2B6E1136">
            <w:pPr>
              <w:pStyle w:val="55"/>
              <w:rPr>
                <w:rFonts w:cs="Arial"/>
                <w:sz w:val="16"/>
                <w:szCs w:val="16"/>
              </w:rPr>
            </w:pPr>
            <w:r>
              <w:rPr>
                <w:sz w:val="16"/>
                <w:szCs w:val="16"/>
              </w:rPr>
              <w:t>F</w:t>
            </w:r>
            <w:r>
              <w:rPr>
                <w:sz w:val="16"/>
                <w:szCs w:val="16"/>
                <w:vertAlign w:val="subscript"/>
              </w:rPr>
              <w:t>DL_high</w:t>
            </w:r>
          </w:p>
        </w:tc>
        <w:tc>
          <w:tcPr>
            <w:tcW w:w="1133" w:type="dxa"/>
            <w:tcBorders>
              <w:top w:val="single" w:color="auto" w:sz="6" w:space="0"/>
              <w:left w:val="single" w:color="auto" w:sz="6" w:space="0"/>
              <w:bottom w:val="single" w:color="auto" w:sz="6" w:space="0"/>
              <w:right w:val="single" w:color="auto" w:sz="6" w:space="0"/>
            </w:tcBorders>
            <w:vAlign w:val="center"/>
          </w:tcPr>
          <w:p w14:paraId="3896FBEA">
            <w:pPr>
              <w:pStyle w:val="54"/>
              <w:rPr>
                <w:rFonts w:cs="Arial"/>
                <w:sz w:val="16"/>
                <w:szCs w:val="16"/>
              </w:rPr>
            </w:pPr>
            <w:r>
              <w:rPr>
                <w:sz w:val="16"/>
                <w:szCs w:val="16"/>
              </w:rPr>
              <w:t>NA</w:t>
            </w:r>
          </w:p>
        </w:tc>
        <w:tc>
          <w:tcPr>
            <w:tcW w:w="850" w:type="dxa"/>
            <w:tcBorders>
              <w:top w:val="single" w:color="auto" w:sz="6" w:space="0"/>
              <w:left w:val="single" w:color="auto" w:sz="6" w:space="0"/>
              <w:bottom w:val="single" w:color="auto" w:sz="6" w:space="0"/>
              <w:right w:val="single" w:color="auto" w:sz="6" w:space="0"/>
            </w:tcBorders>
            <w:noWrap/>
            <w:vAlign w:val="center"/>
          </w:tcPr>
          <w:p w14:paraId="134B1BCC">
            <w:pPr>
              <w:pStyle w:val="54"/>
              <w:rPr>
                <w:rFonts w:cs="Arial"/>
                <w:sz w:val="16"/>
                <w:szCs w:val="16"/>
              </w:rPr>
            </w:pPr>
            <w:r>
              <w:rPr>
                <w:sz w:val="16"/>
                <w:szCs w:val="16"/>
              </w:rPr>
              <w:t>NA</w:t>
            </w:r>
          </w:p>
        </w:tc>
        <w:tc>
          <w:tcPr>
            <w:tcW w:w="928" w:type="dxa"/>
            <w:tcBorders>
              <w:top w:val="single" w:color="auto" w:sz="6" w:space="0"/>
              <w:left w:val="single" w:color="auto" w:sz="6" w:space="0"/>
              <w:bottom w:val="single" w:color="auto" w:sz="6" w:space="0"/>
              <w:right w:val="single" w:color="auto" w:sz="4" w:space="0"/>
            </w:tcBorders>
            <w:noWrap/>
            <w:vAlign w:val="center"/>
          </w:tcPr>
          <w:p w14:paraId="43762824">
            <w:pPr>
              <w:pStyle w:val="54"/>
              <w:rPr>
                <w:rFonts w:cs="Arial"/>
                <w:sz w:val="16"/>
                <w:szCs w:val="16"/>
                <w:lang w:eastAsia="ja-JP"/>
              </w:rPr>
            </w:pPr>
            <w:r>
              <w:rPr>
                <w:sz w:val="16"/>
                <w:szCs w:val="16"/>
              </w:rPr>
              <w:t>3</w:t>
            </w:r>
          </w:p>
        </w:tc>
      </w:tr>
      <w:tr w14:paraId="6D0162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8"/>
            <w:tcBorders>
              <w:top w:val="single" w:color="auto" w:sz="6" w:space="0"/>
              <w:left w:val="single" w:color="auto" w:sz="4" w:space="0"/>
              <w:bottom w:val="single" w:color="auto" w:sz="4" w:space="0"/>
              <w:right w:val="single" w:color="auto" w:sz="4" w:space="0"/>
            </w:tcBorders>
            <w:vAlign w:val="bottom"/>
          </w:tcPr>
          <w:p w14:paraId="32716A1D">
            <w:pPr>
              <w:pStyle w:val="68"/>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14:paraId="44009774">
            <w:pPr>
              <w:pStyle w:val="68"/>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65BF0A77">
            <w:pPr>
              <w:pStyle w:val="68"/>
              <w:rPr>
                <w:ins w:id="349" w:author="CMCC-Luyang Zhao" w:date="2025-05-07T15:40:46Z"/>
              </w:rPr>
            </w:pPr>
            <w:r>
              <w:t>NOTE 3:</w:t>
            </w:r>
            <w:r>
              <w:tab/>
            </w:r>
            <w:r>
              <w:t>The co-existence between 256 and band 2, 25 and 70 is subject to regional/national regulation.</w:t>
            </w:r>
          </w:p>
          <w:p w14:paraId="71F10DA6">
            <w:pPr>
              <w:pStyle w:val="68"/>
              <w:rPr>
                <w:ins w:id="350" w:author="CMCC-Luyang Zhao" w:date="2025-05-07T15:40:52Z"/>
              </w:rPr>
            </w:pPr>
            <w:ins w:id="351" w:author="CMCC-Luyang Zhao" w:date="2025-05-07T15:40:52Z">
              <w:r>
                <w:rPr/>
                <w:t>NOTE 4:</w:t>
              </w:r>
            </w:ins>
            <w:ins w:id="352" w:author="CMCC-Luyang Zhao" w:date="2025-05-07T15:40:52Z">
              <w:r>
                <w:rPr/>
                <w:tab/>
              </w:r>
            </w:ins>
            <w:ins w:id="353" w:author="CMCC-Luyang Zhao" w:date="2025-05-07T15:40:52Z">
              <w:r>
                <w:rPr/>
                <w:t>Linearly interpolated in dBm vs. frequency.</w:t>
              </w:r>
            </w:ins>
          </w:p>
          <w:p w14:paraId="23537B31">
            <w:pPr>
              <w:pStyle w:val="68"/>
            </w:pPr>
            <w:ins w:id="354" w:author="CMCC-Luyang Zhao" w:date="2025-05-07T15:40:52Z">
              <w:r>
                <w:rPr/>
                <w:t>NOTE 5:</w:t>
              </w:r>
            </w:ins>
            <w:ins w:id="355" w:author="CMCC-Luyang Zhao" w:date="2025-05-07T15:40:52Z">
              <w:r>
                <w:rPr/>
                <w:tab/>
              </w:r>
            </w:ins>
            <w:ins w:id="356" w:author="CMCC-Luyang Zhao" w:date="2025-05-07T15:40:52Z">
              <w:r>
                <w:rPr/>
                <w:t>Requirement is a regional regulatory requirement.</w:t>
              </w:r>
            </w:ins>
          </w:p>
        </w:tc>
      </w:tr>
      <w:bookmarkEnd w:id="152"/>
    </w:tbl>
    <w:p w14:paraId="5D409806"/>
    <w:p w14:paraId="0367843C">
      <w:pPr>
        <w:pStyle w:val="58"/>
      </w:pPr>
      <w:r>
        <w:t>NOTE:</w:t>
      </w:r>
      <w:r>
        <w:tab/>
      </w:r>
      <w:r>
        <w:t>To simplify Table 6.5A.4.3-1, E-UTRA band numbers are listed for bands which are specified only for E-UTRA operation or both E-UTRA and NR operation. NR band numbers are listed for bands which are specified only for NR operation.</w:t>
      </w:r>
    </w:p>
    <w:p w14:paraId="1214F7DF">
      <w:r>
        <w:t>The normative reference for this requirement is TS 36.102 [11] subclause 6.5A.4.3.</w:t>
      </w:r>
    </w:p>
    <w:p w14:paraId="6E35FA3B">
      <w:pPr>
        <w:pStyle w:val="85"/>
        <w:rPr>
          <w:rFonts w:eastAsia="??"/>
          <w:color w:val="FF0000"/>
          <w:sz w:val="32"/>
        </w:rPr>
      </w:pPr>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2C432682">
      <w:pPr>
        <w:pStyle w:val="3"/>
      </w:pPr>
      <w:r>
        <w:t>7.1</w:t>
      </w:r>
      <w:r>
        <w:tab/>
      </w:r>
      <w:r>
        <w:t>General</w:t>
      </w:r>
      <w:bookmarkEnd w:id="138"/>
      <w:bookmarkEnd w:id="139"/>
      <w:bookmarkEnd w:id="140"/>
      <w:bookmarkEnd w:id="141"/>
      <w:bookmarkEnd w:id="142"/>
      <w:bookmarkEnd w:id="143"/>
      <w:bookmarkEnd w:id="144"/>
      <w:bookmarkEnd w:id="145"/>
      <w:bookmarkEnd w:id="146"/>
      <w:bookmarkEnd w:id="147"/>
      <w:bookmarkEnd w:id="148"/>
    </w:p>
    <w:p w14:paraId="2729119C">
      <w:r>
        <w:t>The requirements in clause 7.1 of TS 36.101 [7] shall apply.</w:t>
      </w:r>
    </w:p>
    <w:p w14:paraId="6D9552FA">
      <w:r>
        <w:t>All requirements in this section are applicable to devices supporting GSO and/or NGSO satellites.</w:t>
      </w:r>
    </w:p>
    <w:p w14:paraId="65DF80B1">
      <w:pPr>
        <w:rPr>
          <w:ins w:id="357" w:author="CMCC-Luyang Zhao" w:date="2025-05-07T15:28:16Z"/>
          <w:rFonts w:cs="v5.0.0" w:eastAsiaTheme="minorEastAsia"/>
        </w:rPr>
      </w:pPr>
      <w:ins w:id="358" w:author="CMCC-Luyang Zhao" w:date="2025-05-07T15:28:16Z">
        <w:bookmarkStart w:id="153" w:name="_Toc194571875"/>
        <w:bookmarkStart w:id="154" w:name="_Toc16853"/>
        <w:bookmarkStart w:id="155" w:name="_Toc120570090"/>
        <w:bookmarkStart w:id="156" w:name="_Toc111062077"/>
        <w:bookmarkStart w:id="157" w:name="_Toc19074"/>
        <w:bookmarkStart w:id="158" w:name="_Toc9401"/>
        <w:bookmarkStart w:id="159" w:name="_Toc25696"/>
        <w:bookmarkStart w:id="160" w:name="_Toc29131"/>
        <w:bookmarkStart w:id="161" w:name="_Toc121162882"/>
        <w:bookmarkStart w:id="162" w:name="_Toc368026360"/>
        <w:bookmarkStart w:id="163" w:name="_Toc5555"/>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ins>
    </w:p>
    <w:p w14:paraId="149D41B3">
      <w:pPr>
        <w:pStyle w:val="3"/>
      </w:pPr>
      <w:r>
        <w:t>7.2</w:t>
      </w:r>
      <w:r>
        <w:tab/>
      </w:r>
      <w:r>
        <w:t>Diversity characteristics</w:t>
      </w:r>
      <w:bookmarkEnd w:id="153"/>
      <w:bookmarkEnd w:id="154"/>
      <w:bookmarkEnd w:id="155"/>
      <w:bookmarkEnd w:id="156"/>
      <w:bookmarkEnd w:id="157"/>
      <w:bookmarkEnd w:id="158"/>
      <w:bookmarkEnd w:id="159"/>
      <w:bookmarkEnd w:id="160"/>
      <w:bookmarkEnd w:id="161"/>
      <w:bookmarkEnd w:id="162"/>
      <w:bookmarkEnd w:id="163"/>
    </w:p>
    <w:p w14:paraId="2258CC50">
      <w:pPr>
        <w:pStyle w:val="85"/>
        <w:rPr>
          <w:rFonts w:eastAsia="??"/>
          <w:color w:val="FF0000"/>
          <w:sz w:val="32"/>
        </w:rPr>
      </w:pPr>
      <w:bookmarkStart w:id="164" w:name="_Toc18186"/>
      <w:bookmarkStart w:id="165" w:name="_Toc11371"/>
      <w:bookmarkStart w:id="166" w:name="_Toc194571877"/>
      <w:bookmarkStart w:id="167" w:name="_Toc26670"/>
      <w:bookmarkStart w:id="168" w:name="_Toc17741"/>
      <w:bookmarkStart w:id="169" w:name="_Toc5125"/>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294D20A9">
      <w:pPr>
        <w:pStyle w:val="3"/>
      </w:pPr>
      <w:r>
        <w:t>7.3A</w:t>
      </w:r>
      <w:r>
        <w:tab/>
      </w:r>
      <w:r>
        <w:t>Reference sensitivity power level for UE category M1</w:t>
      </w:r>
      <w:bookmarkEnd w:id="164"/>
      <w:bookmarkEnd w:id="165"/>
      <w:bookmarkEnd w:id="166"/>
      <w:bookmarkEnd w:id="167"/>
      <w:bookmarkEnd w:id="168"/>
      <w:bookmarkEnd w:id="169"/>
    </w:p>
    <w:p w14:paraId="5E74A3A0">
      <w:pPr>
        <w:pStyle w:val="8"/>
      </w:pPr>
      <w:bookmarkStart w:id="170" w:name="MCCQCTEMPBM_00000297"/>
      <w:r>
        <w:t>7.3A.1</w:t>
      </w:r>
      <w:r>
        <w:tab/>
      </w:r>
      <w:r>
        <w:t>Test purpose</w:t>
      </w:r>
    </w:p>
    <w:bookmarkEnd w:id="170"/>
    <w:p w14:paraId="3BB61FF2">
      <w:r>
        <w:t>To verify the category M1 UE's ability to receive data with a given average throughput for a specified reference measurement channel, under conditions of low signal level, ideal propagation and no added noise.</w:t>
      </w:r>
    </w:p>
    <w:p w14:paraId="54F45331">
      <w:r>
        <w:t>A UE unable to meet the throughput requirement under these conditions will decrease the effective coverage area of an e-NodeB.</w:t>
      </w:r>
    </w:p>
    <w:p w14:paraId="3C285532">
      <w:pPr>
        <w:pStyle w:val="8"/>
      </w:pPr>
      <w:bookmarkStart w:id="171" w:name="MCCQCTEMPBM_00000298"/>
      <w:r>
        <w:t>7.3A.2</w:t>
      </w:r>
      <w:r>
        <w:tab/>
      </w:r>
      <w:r>
        <w:t>Test applicability</w:t>
      </w:r>
    </w:p>
    <w:bookmarkEnd w:id="171"/>
    <w:p w14:paraId="72592332">
      <w:r>
        <w:t>This test case applies to all types of NB-IoT FDD UE release 1</w:t>
      </w:r>
      <w:r>
        <w:rPr>
          <w:rFonts w:eastAsia="PMingLiU"/>
          <w:lang w:eastAsia="zh-TW"/>
        </w:rPr>
        <w:t>7</w:t>
      </w:r>
      <w:r>
        <w:t xml:space="preserve"> and forward of UE category M1 that support satellite access operation.</w:t>
      </w:r>
    </w:p>
    <w:p w14:paraId="60A832AB">
      <w:pPr>
        <w:pStyle w:val="8"/>
      </w:pPr>
      <w:bookmarkStart w:id="172" w:name="MCCQCTEMPBM_00000299"/>
      <w:r>
        <w:t>7.3A.3</w:t>
      </w:r>
      <w:r>
        <w:tab/>
      </w:r>
      <w:r>
        <w:t>Minimum conformance requirements</w:t>
      </w:r>
    </w:p>
    <w:bookmarkEnd w:id="172"/>
    <w:p w14:paraId="2FACAD8D">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14:paraId="0E8AD57D">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14:paraId="7F2CD906">
      <w:r>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5BE70F8C">
      <w:pPr>
        <w:pStyle w:val="57"/>
      </w:pPr>
      <w:r>
        <w:t>Table 7.3A.3-1: Reference sensitivity for FDD UE category M1 QPSK P</w:t>
      </w:r>
      <w:r>
        <w:rPr>
          <w:vertAlign w:val="subscript"/>
        </w:rPr>
        <w:t>REFSENS</w:t>
      </w:r>
    </w:p>
    <w:tbl>
      <w:tblPr>
        <w:tblStyle w:val="43"/>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14:paraId="33F7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14:paraId="4A4C49A5">
            <w:pPr>
              <w:pStyle w:val="53"/>
              <w:rPr>
                <w:rFonts w:eastAsia="MS Mincho"/>
              </w:rPr>
            </w:pPr>
            <w:r>
              <w:t>NTN Band</w:t>
            </w:r>
          </w:p>
        </w:tc>
        <w:tc>
          <w:tcPr>
            <w:tcW w:w="3827" w:type="dxa"/>
            <w:shd w:val="clear" w:color="auto" w:fill="auto"/>
            <w:vAlign w:val="center"/>
          </w:tcPr>
          <w:p w14:paraId="6BB22C56">
            <w:pPr>
              <w:pStyle w:val="53"/>
              <w:rPr>
                <w:rFonts w:eastAsia="MS Mincho"/>
              </w:rPr>
            </w:pPr>
            <w:r>
              <w:t>REFSENS (dBm)</w:t>
            </w:r>
          </w:p>
        </w:tc>
        <w:tc>
          <w:tcPr>
            <w:tcW w:w="2835" w:type="dxa"/>
            <w:shd w:val="clear" w:color="auto" w:fill="auto"/>
            <w:vAlign w:val="center"/>
          </w:tcPr>
          <w:p w14:paraId="2D5BC093">
            <w:pPr>
              <w:pStyle w:val="53"/>
              <w:rPr>
                <w:rFonts w:eastAsia="MS Mincho"/>
              </w:rPr>
            </w:pPr>
            <w:r>
              <w:t>Duplex Mode</w:t>
            </w:r>
          </w:p>
        </w:tc>
      </w:tr>
      <w:tr w14:paraId="5D6B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del w:id="359" w:author="CMCC-Luyang Zhao" w:date="2025-05-07T15:30:46Z"/>
        </w:trPr>
        <w:tc>
          <w:tcPr>
            <w:tcW w:w="1701" w:type="dxa"/>
            <w:shd w:val="clear" w:color="auto" w:fill="auto"/>
            <w:vAlign w:val="center"/>
          </w:tcPr>
          <w:p w14:paraId="0EBD95F4">
            <w:pPr>
              <w:pStyle w:val="54"/>
              <w:rPr>
                <w:del w:id="360" w:author="CMCC-Luyang Zhao" w:date="2025-05-07T15:30:46Z"/>
              </w:rPr>
            </w:pPr>
            <w:del w:id="361" w:author="CMCC-Luyang Zhao" w:date="2025-05-07T15:30:46Z">
              <w:r>
                <w:rPr>
                  <w:lang w:eastAsia="zh-CN"/>
                </w:rPr>
                <w:delText>253</w:delText>
              </w:r>
            </w:del>
          </w:p>
        </w:tc>
        <w:tc>
          <w:tcPr>
            <w:tcW w:w="3827" w:type="dxa"/>
            <w:shd w:val="clear" w:color="auto" w:fill="auto"/>
            <w:vAlign w:val="center"/>
          </w:tcPr>
          <w:p w14:paraId="1A2E693D">
            <w:pPr>
              <w:pStyle w:val="54"/>
              <w:rPr>
                <w:del w:id="362" w:author="CMCC-Luyang Zhao" w:date="2025-05-07T15:30:46Z"/>
              </w:rPr>
            </w:pPr>
            <w:del w:id="363" w:author="CMCC-Luyang Zhao" w:date="2025-05-07T15:30:46Z">
              <w:r>
                <w:rPr>
                  <w:lang w:eastAsia="zh-CN"/>
                </w:rPr>
                <w:delText>-102.7</w:delText>
              </w:r>
            </w:del>
          </w:p>
        </w:tc>
        <w:tc>
          <w:tcPr>
            <w:tcW w:w="2835" w:type="dxa"/>
            <w:shd w:val="clear" w:color="auto" w:fill="auto"/>
            <w:vAlign w:val="center"/>
          </w:tcPr>
          <w:p w14:paraId="01881A76">
            <w:pPr>
              <w:pStyle w:val="54"/>
              <w:rPr>
                <w:del w:id="364" w:author="CMCC-Luyang Zhao" w:date="2025-05-07T15:30:46Z"/>
              </w:rPr>
            </w:pPr>
            <w:del w:id="365" w:author="CMCC-Luyang Zhao" w:date="2025-05-07T15:30:46Z">
              <w:r>
                <w:rPr>
                  <w:lang w:eastAsia="zh-CN"/>
                </w:rPr>
                <w:delText>FDD</w:delText>
              </w:r>
            </w:del>
          </w:p>
        </w:tc>
      </w:tr>
      <w:tr w14:paraId="270AB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366" w:author="CMCC-Luyang Zhao" w:date="2025-05-07T15:30:46Z"/>
        </w:trPr>
        <w:tc>
          <w:tcPr>
            <w:tcW w:w="1701" w:type="dxa"/>
            <w:shd w:val="clear" w:color="auto" w:fill="auto"/>
            <w:vAlign w:val="center"/>
          </w:tcPr>
          <w:p w14:paraId="3DAC9C4D">
            <w:pPr>
              <w:pStyle w:val="54"/>
              <w:rPr>
                <w:del w:id="367" w:author="CMCC-Luyang Zhao" w:date="2025-05-07T15:30:46Z"/>
                <w:rFonts w:eastAsia="MS Mincho"/>
              </w:rPr>
            </w:pPr>
            <w:del w:id="368" w:author="CMCC-Luyang Zhao" w:date="2025-05-07T15:30:46Z">
              <w:r>
                <w:rPr>
                  <w:rFonts w:eastAsia="MS Mincho"/>
                </w:rPr>
                <w:delText>254</w:delText>
              </w:r>
            </w:del>
          </w:p>
        </w:tc>
        <w:tc>
          <w:tcPr>
            <w:tcW w:w="3827" w:type="dxa"/>
            <w:shd w:val="clear" w:color="auto" w:fill="auto"/>
            <w:vAlign w:val="center"/>
          </w:tcPr>
          <w:p w14:paraId="21F4FF2E">
            <w:pPr>
              <w:pStyle w:val="54"/>
              <w:rPr>
                <w:del w:id="369" w:author="CMCC-Luyang Zhao" w:date="2025-05-07T15:30:46Z"/>
                <w:rFonts w:eastAsia="MS Mincho"/>
              </w:rPr>
            </w:pPr>
            <w:del w:id="370" w:author="CMCC-Luyang Zhao" w:date="2025-05-07T15:30:46Z">
              <w:r>
                <w:rPr>
                  <w:rFonts w:eastAsia="MS Mincho"/>
                </w:rPr>
                <w:delText>-102.2</w:delText>
              </w:r>
            </w:del>
          </w:p>
        </w:tc>
        <w:tc>
          <w:tcPr>
            <w:tcW w:w="2835" w:type="dxa"/>
            <w:shd w:val="clear" w:color="auto" w:fill="auto"/>
            <w:vAlign w:val="center"/>
          </w:tcPr>
          <w:p w14:paraId="4EEE4CF2">
            <w:pPr>
              <w:pStyle w:val="54"/>
              <w:rPr>
                <w:del w:id="371" w:author="CMCC-Luyang Zhao" w:date="2025-05-07T15:30:46Z"/>
                <w:rFonts w:eastAsia="MS Mincho"/>
              </w:rPr>
            </w:pPr>
            <w:del w:id="372" w:author="CMCC-Luyang Zhao" w:date="2025-05-07T15:30:46Z">
              <w:r>
                <w:rPr>
                  <w:rFonts w:eastAsia="MS Mincho"/>
                </w:rPr>
                <w:delText>FDD</w:delText>
              </w:r>
            </w:del>
          </w:p>
        </w:tc>
      </w:tr>
      <w:tr w14:paraId="54AB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373" w:author="CMCC-Luyang Zhao" w:date="2025-05-07T15:30:46Z"/>
        </w:trPr>
        <w:tc>
          <w:tcPr>
            <w:tcW w:w="1701" w:type="dxa"/>
            <w:shd w:val="clear" w:color="auto" w:fill="auto"/>
            <w:vAlign w:val="center"/>
          </w:tcPr>
          <w:p w14:paraId="60937DA6">
            <w:pPr>
              <w:pStyle w:val="54"/>
              <w:rPr>
                <w:del w:id="374" w:author="CMCC-Luyang Zhao" w:date="2025-05-07T15:30:46Z"/>
                <w:rFonts w:eastAsia="MS Mincho"/>
              </w:rPr>
            </w:pPr>
            <w:del w:id="375" w:author="CMCC-Luyang Zhao" w:date="2025-05-07T15:30:46Z">
              <w:r>
                <w:rPr>
                  <w:rFonts w:eastAsia="MS Mincho"/>
                </w:rPr>
                <w:delText>255</w:delText>
              </w:r>
            </w:del>
          </w:p>
        </w:tc>
        <w:tc>
          <w:tcPr>
            <w:tcW w:w="3827" w:type="dxa"/>
            <w:shd w:val="clear" w:color="auto" w:fill="auto"/>
            <w:vAlign w:val="center"/>
          </w:tcPr>
          <w:p w14:paraId="15482399">
            <w:pPr>
              <w:pStyle w:val="54"/>
              <w:rPr>
                <w:del w:id="376" w:author="CMCC-Luyang Zhao" w:date="2025-05-07T15:30:46Z"/>
                <w:rFonts w:eastAsia="MS Mincho"/>
              </w:rPr>
            </w:pPr>
            <w:del w:id="377" w:author="CMCC-Luyang Zhao" w:date="2025-05-07T15:30:46Z">
              <w:r>
                <w:rPr>
                  <w:rFonts w:eastAsia="MS Mincho"/>
                </w:rPr>
                <w:delText>-102.7</w:delText>
              </w:r>
            </w:del>
          </w:p>
        </w:tc>
        <w:tc>
          <w:tcPr>
            <w:tcW w:w="2835" w:type="dxa"/>
            <w:shd w:val="clear" w:color="auto" w:fill="auto"/>
            <w:vAlign w:val="center"/>
          </w:tcPr>
          <w:p w14:paraId="0B8A5357">
            <w:pPr>
              <w:pStyle w:val="54"/>
              <w:rPr>
                <w:del w:id="378" w:author="CMCC-Luyang Zhao" w:date="2025-05-07T15:30:46Z"/>
                <w:rFonts w:eastAsia="MS Mincho"/>
              </w:rPr>
            </w:pPr>
            <w:del w:id="379" w:author="CMCC-Luyang Zhao" w:date="2025-05-07T15:30:46Z">
              <w:r>
                <w:rPr>
                  <w:rFonts w:eastAsia="MS Mincho"/>
                </w:rPr>
                <w:delText>FDD</w:delText>
              </w:r>
            </w:del>
          </w:p>
        </w:tc>
      </w:tr>
      <w:tr w14:paraId="7D22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14:paraId="6353B48A">
            <w:pPr>
              <w:pStyle w:val="54"/>
              <w:rPr>
                <w:rFonts w:eastAsia="MS Mincho"/>
              </w:rPr>
            </w:pPr>
            <w:r>
              <w:rPr>
                <w:rFonts w:eastAsia="MS Mincho"/>
              </w:rPr>
              <w:t>256</w:t>
            </w:r>
          </w:p>
        </w:tc>
        <w:tc>
          <w:tcPr>
            <w:tcW w:w="3827" w:type="dxa"/>
            <w:shd w:val="clear" w:color="auto" w:fill="auto"/>
            <w:vAlign w:val="center"/>
          </w:tcPr>
          <w:p w14:paraId="1D41EF1F">
            <w:pPr>
              <w:pStyle w:val="54"/>
              <w:rPr>
                <w:rFonts w:eastAsia="MS Mincho"/>
              </w:rPr>
            </w:pPr>
            <w:r>
              <w:rPr>
                <w:rFonts w:eastAsia="MS Mincho"/>
              </w:rPr>
              <w:t>-102.2</w:t>
            </w:r>
          </w:p>
        </w:tc>
        <w:tc>
          <w:tcPr>
            <w:tcW w:w="2835" w:type="dxa"/>
            <w:shd w:val="clear" w:color="auto" w:fill="auto"/>
            <w:vAlign w:val="center"/>
          </w:tcPr>
          <w:p w14:paraId="057F3BB3">
            <w:pPr>
              <w:pStyle w:val="54"/>
              <w:rPr>
                <w:rFonts w:eastAsia="MS Mincho"/>
              </w:rPr>
            </w:pPr>
            <w:r>
              <w:rPr>
                <w:rFonts w:eastAsia="MS Mincho"/>
              </w:rPr>
              <w:t>FDD</w:t>
            </w:r>
          </w:p>
        </w:tc>
      </w:tr>
      <w:tr w14:paraId="4C4D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80" w:author="CMCC-Luyang Zhao" w:date="2025-05-07T15:30:50Z"/>
        </w:trPr>
        <w:tc>
          <w:tcPr>
            <w:tcW w:w="1701" w:type="dxa"/>
            <w:shd w:val="clear" w:color="auto" w:fill="auto"/>
            <w:vAlign w:val="center"/>
          </w:tcPr>
          <w:p w14:paraId="422BD503">
            <w:pPr>
              <w:pStyle w:val="54"/>
              <w:rPr>
                <w:ins w:id="381" w:author="CMCC-Luyang Zhao" w:date="2025-05-07T15:30:50Z"/>
                <w:rFonts w:eastAsia="MS Mincho"/>
              </w:rPr>
            </w:pPr>
            <w:ins w:id="382" w:author="CMCC-Luyang Zhao" w:date="2025-05-07T15:31:26Z">
              <w:r>
                <w:rPr>
                  <w:rFonts w:hint="eastAsia" w:eastAsia="PMingLiU"/>
                  <w:lang w:eastAsia="zh-TW"/>
                </w:rPr>
                <w:t>2</w:t>
              </w:r>
            </w:ins>
            <w:ins w:id="383" w:author="CMCC-Luyang Zhao" w:date="2025-05-07T15:31:26Z">
              <w:r>
                <w:rPr>
                  <w:rFonts w:eastAsia="PMingLiU"/>
                  <w:lang w:eastAsia="zh-TW"/>
                </w:rPr>
                <w:t>55</w:t>
              </w:r>
            </w:ins>
          </w:p>
        </w:tc>
        <w:tc>
          <w:tcPr>
            <w:tcW w:w="3827" w:type="dxa"/>
            <w:shd w:val="clear" w:color="auto" w:fill="auto"/>
            <w:vAlign w:val="center"/>
          </w:tcPr>
          <w:p w14:paraId="04817C36">
            <w:pPr>
              <w:pStyle w:val="54"/>
              <w:rPr>
                <w:ins w:id="384" w:author="CMCC-Luyang Zhao" w:date="2025-05-07T15:30:50Z"/>
                <w:rFonts w:eastAsia="MS Mincho"/>
              </w:rPr>
            </w:pPr>
            <w:ins w:id="385" w:author="CMCC-Luyang Zhao" w:date="2025-05-07T15:31:43Z">
              <w:r>
                <w:rPr>
                  <w:rFonts w:eastAsia="MS Mincho"/>
                </w:rPr>
                <w:t>-102.7</w:t>
              </w:r>
            </w:ins>
          </w:p>
        </w:tc>
        <w:tc>
          <w:tcPr>
            <w:tcW w:w="2835" w:type="dxa"/>
            <w:shd w:val="clear" w:color="auto" w:fill="auto"/>
            <w:vAlign w:val="center"/>
          </w:tcPr>
          <w:p w14:paraId="3F941717">
            <w:pPr>
              <w:pStyle w:val="54"/>
              <w:rPr>
                <w:ins w:id="386" w:author="CMCC-Luyang Zhao" w:date="2025-05-07T15:30:50Z"/>
                <w:rFonts w:eastAsia="MS Mincho"/>
              </w:rPr>
            </w:pPr>
            <w:ins w:id="387" w:author="CMCC-Luyang Zhao" w:date="2025-05-07T15:31:15Z">
              <w:r>
                <w:rPr>
                  <w:rFonts w:hint="eastAsia" w:eastAsia="PMingLiU"/>
                  <w:lang w:eastAsia="zh-TW"/>
                </w:rPr>
                <w:t>F</w:t>
              </w:r>
            </w:ins>
            <w:ins w:id="388" w:author="CMCC-Luyang Zhao" w:date="2025-05-07T15:31:15Z">
              <w:r>
                <w:rPr>
                  <w:rFonts w:eastAsia="PMingLiU"/>
                  <w:lang w:eastAsia="zh-TW"/>
                </w:rPr>
                <w:t>DD</w:t>
              </w:r>
            </w:ins>
          </w:p>
        </w:tc>
      </w:tr>
      <w:tr w14:paraId="7CA6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89" w:author="CMCC-Luyang Zhao" w:date="2025-05-07T15:30:52Z"/>
        </w:trPr>
        <w:tc>
          <w:tcPr>
            <w:tcW w:w="1701" w:type="dxa"/>
            <w:shd w:val="clear" w:color="auto" w:fill="auto"/>
            <w:vAlign w:val="center"/>
          </w:tcPr>
          <w:p w14:paraId="2D144743">
            <w:pPr>
              <w:pStyle w:val="54"/>
              <w:rPr>
                <w:ins w:id="390" w:author="CMCC-Luyang Zhao" w:date="2025-05-07T15:30:52Z"/>
                <w:rFonts w:eastAsia="MS Mincho"/>
              </w:rPr>
            </w:pPr>
            <w:ins w:id="391" w:author="CMCC-Luyang Zhao" w:date="2025-05-07T15:31:28Z">
              <w:r>
                <w:rPr>
                  <w:rFonts w:hint="eastAsia" w:eastAsia="PMingLiU"/>
                  <w:lang w:eastAsia="zh-TW"/>
                </w:rPr>
                <w:t>2</w:t>
              </w:r>
            </w:ins>
            <w:ins w:id="392" w:author="CMCC-Luyang Zhao" w:date="2025-05-07T15:31:28Z">
              <w:r>
                <w:rPr>
                  <w:rFonts w:eastAsia="PMingLiU"/>
                  <w:lang w:eastAsia="zh-TW"/>
                </w:rPr>
                <w:t>5</w:t>
              </w:r>
            </w:ins>
            <w:ins w:id="393" w:author="CMCC-Luyang Zhao" w:date="2025-05-07T15:31:34Z">
              <w:r>
                <w:rPr>
                  <w:rFonts w:hint="default" w:eastAsia="PMingLiU"/>
                  <w:lang w:val="en-US" w:eastAsia="zh-TW"/>
                </w:rPr>
                <w:t>4</w:t>
              </w:r>
            </w:ins>
          </w:p>
        </w:tc>
        <w:tc>
          <w:tcPr>
            <w:tcW w:w="3827" w:type="dxa"/>
            <w:shd w:val="clear" w:color="auto" w:fill="auto"/>
            <w:vAlign w:val="center"/>
          </w:tcPr>
          <w:p w14:paraId="3B19FA78">
            <w:pPr>
              <w:pStyle w:val="54"/>
              <w:rPr>
                <w:ins w:id="394" w:author="CMCC-Luyang Zhao" w:date="2025-05-07T15:30:52Z"/>
                <w:rFonts w:eastAsia="MS Mincho"/>
              </w:rPr>
            </w:pPr>
            <w:ins w:id="395" w:author="CMCC-Luyang Zhao" w:date="2025-05-07T15:31:46Z">
              <w:r>
                <w:rPr>
                  <w:rFonts w:eastAsia="MS Mincho"/>
                </w:rPr>
                <w:t>-102.2</w:t>
              </w:r>
            </w:ins>
          </w:p>
        </w:tc>
        <w:tc>
          <w:tcPr>
            <w:tcW w:w="2835" w:type="dxa"/>
            <w:shd w:val="clear" w:color="auto" w:fill="auto"/>
            <w:vAlign w:val="center"/>
          </w:tcPr>
          <w:p w14:paraId="70B17882">
            <w:pPr>
              <w:pStyle w:val="54"/>
              <w:rPr>
                <w:ins w:id="396" w:author="CMCC-Luyang Zhao" w:date="2025-05-07T15:30:52Z"/>
                <w:rFonts w:eastAsia="MS Mincho"/>
              </w:rPr>
            </w:pPr>
            <w:ins w:id="397" w:author="CMCC-Luyang Zhao" w:date="2025-05-07T15:31:17Z">
              <w:r>
                <w:rPr>
                  <w:rFonts w:hint="eastAsia" w:eastAsia="PMingLiU"/>
                  <w:lang w:eastAsia="zh-TW"/>
                </w:rPr>
                <w:t>F</w:t>
              </w:r>
            </w:ins>
            <w:ins w:id="398" w:author="CMCC-Luyang Zhao" w:date="2025-05-07T15:31:17Z">
              <w:r>
                <w:rPr>
                  <w:rFonts w:eastAsia="PMingLiU"/>
                  <w:lang w:eastAsia="zh-TW"/>
                </w:rPr>
                <w:t>DD</w:t>
              </w:r>
            </w:ins>
          </w:p>
        </w:tc>
      </w:tr>
      <w:tr w14:paraId="46D5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99" w:author="CMCC-Luyang Zhao" w:date="2025-05-07T15:30:52Z"/>
        </w:trPr>
        <w:tc>
          <w:tcPr>
            <w:tcW w:w="1701" w:type="dxa"/>
            <w:shd w:val="clear" w:color="auto" w:fill="auto"/>
            <w:vAlign w:val="center"/>
          </w:tcPr>
          <w:p w14:paraId="79566F72">
            <w:pPr>
              <w:pStyle w:val="54"/>
              <w:rPr>
                <w:ins w:id="400" w:author="CMCC-Luyang Zhao" w:date="2025-05-07T15:30:52Z"/>
                <w:rFonts w:eastAsia="MS Mincho"/>
              </w:rPr>
            </w:pPr>
            <w:ins w:id="401" w:author="CMCC-Luyang Zhao" w:date="2025-05-07T15:31:35Z">
              <w:r>
                <w:rPr>
                  <w:rFonts w:hint="eastAsia" w:eastAsia="PMingLiU"/>
                  <w:lang w:eastAsia="zh-TW"/>
                </w:rPr>
                <w:t>2</w:t>
              </w:r>
            </w:ins>
            <w:ins w:id="402" w:author="CMCC-Luyang Zhao" w:date="2025-05-07T15:31:35Z">
              <w:r>
                <w:rPr>
                  <w:rFonts w:eastAsia="PMingLiU"/>
                  <w:lang w:eastAsia="zh-TW"/>
                </w:rPr>
                <w:t>5</w:t>
              </w:r>
            </w:ins>
            <w:ins w:id="403" w:author="CMCC-Luyang Zhao" w:date="2025-05-07T15:31:36Z">
              <w:r>
                <w:rPr>
                  <w:rFonts w:hint="default" w:eastAsia="PMingLiU"/>
                  <w:lang w:val="en-US" w:eastAsia="zh-TW"/>
                </w:rPr>
                <w:t>3</w:t>
              </w:r>
            </w:ins>
          </w:p>
        </w:tc>
        <w:tc>
          <w:tcPr>
            <w:tcW w:w="3827" w:type="dxa"/>
            <w:shd w:val="clear" w:color="auto" w:fill="auto"/>
            <w:vAlign w:val="center"/>
          </w:tcPr>
          <w:p w14:paraId="057E317F">
            <w:pPr>
              <w:pStyle w:val="54"/>
              <w:rPr>
                <w:ins w:id="404" w:author="CMCC-Luyang Zhao" w:date="2025-05-07T15:30:52Z"/>
                <w:rFonts w:eastAsia="MS Mincho"/>
              </w:rPr>
            </w:pPr>
            <w:ins w:id="405" w:author="CMCC-Luyang Zhao" w:date="2025-05-07T15:31:48Z">
              <w:r>
                <w:rPr>
                  <w:rFonts w:hint="eastAsia"/>
                  <w:lang w:val="en-US" w:eastAsia="zh-CN"/>
                </w:rPr>
                <w:t>-102.7</w:t>
              </w:r>
            </w:ins>
          </w:p>
        </w:tc>
        <w:tc>
          <w:tcPr>
            <w:tcW w:w="2835" w:type="dxa"/>
            <w:shd w:val="clear" w:color="auto" w:fill="auto"/>
            <w:vAlign w:val="center"/>
          </w:tcPr>
          <w:p w14:paraId="645487F2">
            <w:pPr>
              <w:pStyle w:val="54"/>
              <w:rPr>
                <w:ins w:id="406" w:author="CMCC-Luyang Zhao" w:date="2025-05-07T15:30:52Z"/>
                <w:rFonts w:eastAsia="MS Mincho"/>
              </w:rPr>
            </w:pPr>
            <w:ins w:id="407" w:author="CMCC-Luyang Zhao" w:date="2025-05-07T15:31:17Z">
              <w:r>
                <w:rPr>
                  <w:rFonts w:hint="eastAsia" w:eastAsia="PMingLiU"/>
                  <w:lang w:eastAsia="zh-TW"/>
                </w:rPr>
                <w:t>F</w:t>
              </w:r>
            </w:ins>
            <w:ins w:id="408" w:author="CMCC-Luyang Zhao" w:date="2025-05-07T15:31:17Z">
              <w:r>
                <w:rPr>
                  <w:rFonts w:eastAsia="PMingLiU"/>
                  <w:lang w:eastAsia="zh-TW"/>
                </w:rPr>
                <w:t>DD</w:t>
              </w:r>
            </w:ins>
          </w:p>
        </w:tc>
      </w:tr>
      <w:tr w14:paraId="731A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8363" w:type="dxa"/>
            <w:gridSpan w:val="3"/>
            <w:shd w:val="clear" w:color="auto" w:fill="auto"/>
            <w:vAlign w:val="center"/>
          </w:tcPr>
          <w:p w14:paraId="1D9187FB">
            <w:pPr>
              <w:pStyle w:val="68"/>
              <w:rPr>
                <w:rFonts w:eastAsia="MS Mincho"/>
              </w:rPr>
            </w:pPr>
            <w:r>
              <w:t>NOTE 1:</w:t>
            </w:r>
            <w:r>
              <w:tab/>
            </w:r>
            <w:r>
              <w:t>The transmitter shall be set to P</w:t>
            </w:r>
            <w:r>
              <w:rPr>
                <w:vertAlign w:val="subscript"/>
              </w:rPr>
              <w:t>UMAX</w:t>
            </w:r>
            <w:r>
              <w:t xml:space="preserve"> as defined in subclause 6.2.5- in TS 36.101 [7].</w:t>
            </w:r>
          </w:p>
        </w:tc>
      </w:tr>
    </w:tbl>
    <w:p w14:paraId="59B90056"/>
    <w:p w14:paraId="294EBDFB">
      <w:pPr>
        <w:pStyle w:val="57"/>
      </w:pPr>
      <w:r>
        <w:t>Table 7.3A.3-2: Reference sensitivity for HD-FDD UE category M1 QPSK P</w:t>
      </w:r>
      <w:r>
        <w:rPr>
          <w:vertAlign w:val="subscript"/>
        </w:rPr>
        <w:t>REFSENS</w:t>
      </w:r>
    </w:p>
    <w:tbl>
      <w:tblPr>
        <w:tblStyle w:val="43"/>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14:paraId="7C5A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14:paraId="4CDB1EC0">
            <w:pPr>
              <w:pStyle w:val="53"/>
              <w:rPr>
                <w:rFonts w:eastAsia="MS Mincho"/>
              </w:rPr>
            </w:pPr>
            <w:r>
              <w:t>NTN Band</w:t>
            </w:r>
          </w:p>
        </w:tc>
        <w:tc>
          <w:tcPr>
            <w:tcW w:w="3827" w:type="dxa"/>
            <w:shd w:val="clear" w:color="auto" w:fill="auto"/>
            <w:vAlign w:val="center"/>
          </w:tcPr>
          <w:p w14:paraId="0D377A0E">
            <w:pPr>
              <w:pStyle w:val="53"/>
              <w:rPr>
                <w:rFonts w:eastAsia="MS Mincho"/>
              </w:rPr>
            </w:pPr>
            <w:r>
              <w:t>REFSENS (dBm)</w:t>
            </w:r>
          </w:p>
        </w:tc>
        <w:tc>
          <w:tcPr>
            <w:tcW w:w="2835" w:type="dxa"/>
            <w:shd w:val="clear" w:color="auto" w:fill="auto"/>
            <w:vAlign w:val="center"/>
          </w:tcPr>
          <w:p w14:paraId="24521772">
            <w:pPr>
              <w:pStyle w:val="53"/>
              <w:rPr>
                <w:rFonts w:eastAsia="MS Mincho"/>
              </w:rPr>
            </w:pPr>
            <w:r>
              <w:t>Duplex Mode</w:t>
            </w:r>
          </w:p>
        </w:tc>
      </w:tr>
      <w:tr w14:paraId="6244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del w:id="409" w:author="CMCC-Luyang Zhao" w:date="2025-05-07T15:30:59Z"/>
        </w:trPr>
        <w:tc>
          <w:tcPr>
            <w:tcW w:w="1701" w:type="dxa"/>
            <w:shd w:val="clear" w:color="auto" w:fill="auto"/>
            <w:vAlign w:val="center"/>
          </w:tcPr>
          <w:p w14:paraId="5D9961E1">
            <w:pPr>
              <w:pStyle w:val="54"/>
              <w:rPr>
                <w:del w:id="410" w:author="CMCC-Luyang Zhao" w:date="2025-05-07T15:30:59Z"/>
              </w:rPr>
            </w:pPr>
            <w:del w:id="411" w:author="CMCC-Luyang Zhao" w:date="2025-05-07T15:30:59Z">
              <w:r>
                <w:rPr>
                  <w:lang w:eastAsia="zh-CN"/>
                </w:rPr>
                <w:delText>253</w:delText>
              </w:r>
            </w:del>
          </w:p>
        </w:tc>
        <w:tc>
          <w:tcPr>
            <w:tcW w:w="3827" w:type="dxa"/>
            <w:shd w:val="clear" w:color="auto" w:fill="auto"/>
            <w:vAlign w:val="center"/>
          </w:tcPr>
          <w:p w14:paraId="604CCC2E">
            <w:pPr>
              <w:pStyle w:val="54"/>
              <w:rPr>
                <w:del w:id="412" w:author="CMCC-Luyang Zhao" w:date="2025-05-07T15:30:59Z"/>
              </w:rPr>
            </w:pPr>
            <w:del w:id="413" w:author="CMCC-Luyang Zhao" w:date="2025-05-07T15:30:59Z">
              <w:r>
                <w:rPr>
                  <w:rFonts w:eastAsia="MS Mincho"/>
                </w:rPr>
                <w:delText>-103.5</w:delText>
              </w:r>
            </w:del>
          </w:p>
        </w:tc>
        <w:tc>
          <w:tcPr>
            <w:tcW w:w="2835" w:type="dxa"/>
            <w:shd w:val="clear" w:color="auto" w:fill="auto"/>
            <w:vAlign w:val="center"/>
          </w:tcPr>
          <w:p w14:paraId="7D41D993">
            <w:pPr>
              <w:pStyle w:val="54"/>
              <w:rPr>
                <w:del w:id="414" w:author="CMCC-Luyang Zhao" w:date="2025-05-07T15:30:59Z"/>
              </w:rPr>
            </w:pPr>
            <w:del w:id="415" w:author="CMCC-Luyang Zhao" w:date="2025-05-07T15:30:59Z">
              <w:r>
                <w:rPr>
                  <w:rFonts w:eastAsia="MS Mincho"/>
                </w:rPr>
                <w:delText>HD-FDD</w:delText>
              </w:r>
            </w:del>
          </w:p>
        </w:tc>
      </w:tr>
      <w:tr w14:paraId="204E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416" w:author="CMCC-Luyang Zhao" w:date="2025-05-07T15:30:59Z"/>
        </w:trPr>
        <w:tc>
          <w:tcPr>
            <w:tcW w:w="1701" w:type="dxa"/>
            <w:shd w:val="clear" w:color="auto" w:fill="auto"/>
            <w:vAlign w:val="center"/>
          </w:tcPr>
          <w:p w14:paraId="2C2D9053">
            <w:pPr>
              <w:pStyle w:val="54"/>
              <w:rPr>
                <w:del w:id="417" w:author="CMCC-Luyang Zhao" w:date="2025-05-07T15:30:59Z"/>
                <w:rFonts w:eastAsia="MS Mincho"/>
              </w:rPr>
            </w:pPr>
            <w:del w:id="418" w:author="CMCC-Luyang Zhao" w:date="2025-05-07T15:30:59Z">
              <w:r>
                <w:rPr>
                  <w:rFonts w:eastAsia="MS Mincho"/>
                </w:rPr>
                <w:delText>254</w:delText>
              </w:r>
            </w:del>
          </w:p>
        </w:tc>
        <w:tc>
          <w:tcPr>
            <w:tcW w:w="3827" w:type="dxa"/>
            <w:shd w:val="clear" w:color="auto" w:fill="auto"/>
            <w:vAlign w:val="center"/>
          </w:tcPr>
          <w:p w14:paraId="6B06914C">
            <w:pPr>
              <w:pStyle w:val="54"/>
              <w:rPr>
                <w:del w:id="419" w:author="CMCC-Luyang Zhao" w:date="2025-05-07T15:30:59Z"/>
                <w:rFonts w:eastAsia="MS Mincho"/>
              </w:rPr>
            </w:pPr>
            <w:del w:id="420" w:author="CMCC-Luyang Zhao" w:date="2025-05-07T15:30:59Z">
              <w:r>
                <w:rPr>
                  <w:rFonts w:eastAsia="MS Mincho"/>
                </w:rPr>
                <w:delText>-103.1</w:delText>
              </w:r>
            </w:del>
          </w:p>
        </w:tc>
        <w:tc>
          <w:tcPr>
            <w:tcW w:w="2835" w:type="dxa"/>
            <w:shd w:val="clear" w:color="auto" w:fill="auto"/>
            <w:vAlign w:val="center"/>
          </w:tcPr>
          <w:p w14:paraId="760105F2">
            <w:pPr>
              <w:pStyle w:val="54"/>
              <w:rPr>
                <w:del w:id="421" w:author="CMCC-Luyang Zhao" w:date="2025-05-07T15:30:59Z"/>
                <w:rFonts w:eastAsia="MS Mincho"/>
              </w:rPr>
            </w:pPr>
            <w:del w:id="422" w:author="CMCC-Luyang Zhao" w:date="2025-05-07T15:30:59Z">
              <w:r>
                <w:rPr>
                  <w:rFonts w:eastAsia="MS Mincho"/>
                </w:rPr>
                <w:delText>HD-FDD</w:delText>
              </w:r>
            </w:del>
          </w:p>
        </w:tc>
      </w:tr>
      <w:tr w14:paraId="30B91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423" w:author="CMCC-Luyang Zhao" w:date="2025-05-07T15:30:59Z"/>
        </w:trPr>
        <w:tc>
          <w:tcPr>
            <w:tcW w:w="1701" w:type="dxa"/>
            <w:shd w:val="clear" w:color="auto" w:fill="auto"/>
            <w:vAlign w:val="center"/>
          </w:tcPr>
          <w:p w14:paraId="6B6815DB">
            <w:pPr>
              <w:pStyle w:val="54"/>
              <w:rPr>
                <w:del w:id="424" w:author="CMCC-Luyang Zhao" w:date="2025-05-07T15:30:59Z"/>
                <w:rFonts w:eastAsia="MS Mincho"/>
              </w:rPr>
            </w:pPr>
            <w:del w:id="425" w:author="CMCC-Luyang Zhao" w:date="2025-05-07T15:30:59Z">
              <w:r>
                <w:rPr>
                  <w:rFonts w:eastAsia="MS Mincho"/>
                </w:rPr>
                <w:delText>255</w:delText>
              </w:r>
            </w:del>
          </w:p>
        </w:tc>
        <w:tc>
          <w:tcPr>
            <w:tcW w:w="3827" w:type="dxa"/>
            <w:shd w:val="clear" w:color="auto" w:fill="auto"/>
            <w:vAlign w:val="center"/>
          </w:tcPr>
          <w:p w14:paraId="131B55EB">
            <w:pPr>
              <w:pStyle w:val="54"/>
              <w:rPr>
                <w:del w:id="426" w:author="CMCC-Luyang Zhao" w:date="2025-05-07T15:30:59Z"/>
                <w:rFonts w:eastAsia="MS Mincho"/>
              </w:rPr>
            </w:pPr>
            <w:del w:id="427" w:author="CMCC-Luyang Zhao" w:date="2025-05-07T15:30:59Z">
              <w:r>
                <w:rPr>
                  <w:rFonts w:eastAsia="MS Mincho"/>
                </w:rPr>
                <w:delText>-103.5</w:delText>
              </w:r>
            </w:del>
          </w:p>
        </w:tc>
        <w:tc>
          <w:tcPr>
            <w:tcW w:w="2835" w:type="dxa"/>
            <w:shd w:val="clear" w:color="auto" w:fill="auto"/>
            <w:vAlign w:val="center"/>
          </w:tcPr>
          <w:p w14:paraId="1ABBC674">
            <w:pPr>
              <w:pStyle w:val="54"/>
              <w:rPr>
                <w:del w:id="428" w:author="CMCC-Luyang Zhao" w:date="2025-05-07T15:30:59Z"/>
                <w:rFonts w:eastAsia="MS Mincho"/>
              </w:rPr>
            </w:pPr>
            <w:del w:id="429" w:author="CMCC-Luyang Zhao" w:date="2025-05-07T15:30:59Z">
              <w:r>
                <w:rPr>
                  <w:rFonts w:eastAsia="MS Mincho"/>
                </w:rPr>
                <w:delText>HD-FDD</w:delText>
              </w:r>
            </w:del>
          </w:p>
        </w:tc>
      </w:tr>
      <w:tr w14:paraId="50A63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14:paraId="48E00720">
            <w:pPr>
              <w:pStyle w:val="54"/>
              <w:rPr>
                <w:rFonts w:eastAsia="MS Mincho"/>
              </w:rPr>
            </w:pPr>
            <w:r>
              <w:rPr>
                <w:rFonts w:eastAsia="MS Mincho"/>
              </w:rPr>
              <w:t>256</w:t>
            </w:r>
          </w:p>
        </w:tc>
        <w:tc>
          <w:tcPr>
            <w:tcW w:w="3827" w:type="dxa"/>
            <w:shd w:val="clear" w:color="auto" w:fill="auto"/>
            <w:vAlign w:val="center"/>
          </w:tcPr>
          <w:p w14:paraId="557E303D">
            <w:pPr>
              <w:pStyle w:val="54"/>
              <w:rPr>
                <w:rFonts w:eastAsia="MS Mincho"/>
              </w:rPr>
            </w:pPr>
            <w:r>
              <w:rPr>
                <w:rFonts w:eastAsia="MS Mincho"/>
              </w:rPr>
              <w:t>-103</w:t>
            </w:r>
          </w:p>
        </w:tc>
        <w:tc>
          <w:tcPr>
            <w:tcW w:w="2835" w:type="dxa"/>
            <w:shd w:val="clear" w:color="auto" w:fill="auto"/>
            <w:vAlign w:val="center"/>
          </w:tcPr>
          <w:p w14:paraId="650D774A">
            <w:pPr>
              <w:pStyle w:val="54"/>
              <w:rPr>
                <w:rFonts w:eastAsia="MS Mincho"/>
              </w:rPr>
            </w:pPr>
            <w:r>
              <w:rPr>
                <w:rFonts w:eastAsia="MS Mincho"/>
              </w:rPr>
              <w:t>HD-FDD</w:t>
            </w:r>
          </w:p>
        </w:tc>
      </w:tr>
      <w:tr w14:paraId="246B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430" w:author="CMCC-Luyang Zhao" w:date="2025-05-07T15:31:02Z"/>
        </w:trPr>
        <w:tc>
          <w:tcPr>
            <w:tcW w:w="1701" w:type="dxa"/>
            <w:shd w:val="clear" w:color="auto" w:fill="auto"/>
            <w:vAlign w:val="center"/>
          </w:tcPr>
          <w:p w14:paraId="44C67E25">
            <w:pPr>
              <w:pStyle w:val="54"/>
              <w:rPr>
                <w:ins w:id="431" w:author="CMCC-Luyang Zhao" w:date="2025-05-07T15:31:02Z"/>
                <w:rFonts w:eastAsia="MS Mincho"/>
              </w:rPr>
            </w:pPr>
            <w:ins w:id="432" w:author="CMCC-Luyang Zhao" w:date="2025-05-07T15:31:33Z">
              <w:r>
                <w:rPr>
                  <w:rFonts w:hint="eastAsia" w:eastAsia="PMingLiU"/>
                  <w:lang w:eastAsia="zh-TW"/>
                </w:rPr>
                <w:t>2</w:t>
              </w:r>
            </w:ins>
            <w:ins w:id="433" w:author="CMCC-Luyang Zhao" w:date="2025-05-07T15:31:33Z">
              <w:r>
                <w:rPr>
                  <w:rFonts w:eastAsia="PMingLiU"/>
                  <w:lang w:eastAsia="zh-TW"/>
                </w:rPr>
                <w:t>55</w:t>
              </w:r>
            </w:ins>
          </w:p>
        </w:tc>
        <w:tc>
          <w:tcPr>
            <w:tcW w:w="3827" w:type="dxa"/>
            <w:shd w:val="clear" w:color="auto" w:fill="auto"/>
            <w:vAlign w:val="center"/>
          </w:tcPr>
          <w:p w14:paraId="7C001AD5">
            <w:pPr>
              <w:pStyle w:val="54"/>
              <w:rPr>
                <w:ins w:id="434" w:author="CMCC-Luyang Zhao" w:date="2025-05-07T15:31:02Z"/>
                <w:rFonts w:eastAsia="MS Mincho"/>
              </w:rPr>
            </w:pPr>
            <w:ins w:id="435" w:author="CMCC-Luyang Zhao" w:date="2025-05-07T15:31:53Z">
              <w:r>
                <w:rPr>
                  <w:rFonts w:eastAsia="MS Mincho"/>
                </w:rPr>
                <w:t>-103.5</w:t>
              </w:r>
            </w:ins>
          </w:p>
        </w:tc>
        <w:tc>
          <w:tcPr>
            <w:tcW w:w="2835" w:type="dxa"/>
            <w:shd w:val="clear" w:color="auto" w:fill="auto"/>
            <w:vAlign w:val="center"/>
          </w:tcPr>
          <w:p w14:paraId="178FD8C4">
            <w:pPr>
              <w:pStyle w:val="54"/>
              <w:rPr>
                <w:ins w:id="436" w:author="CMCC-Luyang Zhao" w:date="2025-05-07T15:31:02Z"/>
                <w:rFonts w:eastAsia="MS Mincho"/>
              </w:rPr>
            </w:pPr>
            <w:ins w:id="437" w:author="CMCC-Luyang Zhao" w:date="2025-05-07T15:31:22Z">
              <w:r>
                <w:rPr>
                  <w:rFonts w:eastAsia="MS Mincho"/>
                </w:rPr>
                <w:t>HD-FDD</w:t>
              </w:r>
            </w:ins>
          </w:p>
        </w:tc>
      </w:tr>
      <w:tr w14:paraId="0B41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438" w:author="CMCC-Luyang Zhao" w:date="2025-05-07T15:31:03Z"/>
        </w:trPr>
        <w:tc>
          <w:tcPr>
            <w:tcW w:w="1701" w:type="dxa"/>
            <w:shd w:val="clear" w:color="auto" w:fill="auto"/>
            <w:vAlign w:val="center"/>
          </w:tcPr>
          <w:p w14:paraId="36A5870C">
            <w:pPr>
              <w:pStyle w:val="54"/>
              <w:rPr>
                <w:ins w:id="439" w:author="CMCC-Luyang Zhao" w:date="2025-05-07T15:31:03Z"/>
                <w:rFonts w:eastAsia="MS Mincho"/>
              </w:rPr>
            </w:pPr>
            <w:ins w:id="440" w:author="CMCC-Luyang Zhao" w:date="2025-05-07T15:31:37Z">
              <w:r>
                <w:rPr>
                  <w:rFonts w:hint="eastAsia" w:eastAsia="PMingLiU"/>
                  <w:lang w:eastAsia="zh-TW"/>
                </w:rPr>
                <w:t>2</w:t>
              </w:r>
            </w:ins>
            <w:ins w:id="441" w:author="CMCC-Luyang Zhao" w:date="2025-05-07T15:31:37Z">
              <w:r>
                <w:rPr>
                  <w:rFonts w:eastAsia="PMingLiU"/>
                  <w:lang w:eastAsia="zh-TW"/>
                </w:rPr>
                <w:t>5</w:t>
              </w:r>
            </w:ins>
            <w:ins w:id="442" w:author="CMCC-Luyang Zhao" w:date="2025-05-07T15:31:38Z">
              <w:r>
                <w:rPr>
                  <w:rFonts w:hint="default" w:eastAsia="PMingLiU"/>
                  <w:lang w:val="en-US" w:eastAsia="zh-TW"/>
                </w:rPr>
                <w:t>4</w:t>
              </w:r>
            </w:ins>
          </w:p>
        </w:tc>
        <w:tc>
          <w:tcPr>
            <w:tcW w:w="3827" w:type="dxa"/>
            <w:shd w:val="clear" w:color="auto" w:fill="auto"/>
            <w:vAlign w:val="center"/>
          </w:tcPr>
          <w:p w14:paraId="2961850A">
            <w:pPr>
              <w:pStyle w:val="54"/>
              <w:rPr>
                <w:ins w:id="443" w:author="CMCC-Luyang Zhao" w:date="2025-05-07T15:31:03Z"/>
                <w:rFonts w:eastAsia="MS Mincho"/>
              </w:rPr>
            </w:pPr>
            <w:ins w:id="444" w:author="CMCC-Luyang Zhao" w:date="2025-05-07T15:31:58Z">
              <w:r>
                <w:rPr>
                  <w:rFonts w:eastAsia="MS Mincho"/>
                </w:rPr>
                <w:t>-103.1</w:t>
              </w:r>
            </w:ins>
          </w:p>
        </w:tc>
        <w:tc>
          <w:tcPr>
            <w:tcW w:w="2835" w:type="dxa"/>
            <w:shd w:val="clear" w:color="auto" w:fill="auto"/>
            <w:vAlign w:val="center"/>
          </w:tcPr>
          <w:p w14:paraId="06A6A3D2">
            <w:pPr>
              <w:pStyle w:val="54"/>
              <w:rPr>
                <w:ins w:id="445" w:author="CMCC-Luyang Zhao" w:date="2025-05-07T15:31:03Z"/>
                <w:rFonts w:eastAsia="MS Mincho"/>
              </w:rPr>
            </w:pPr>
            <w:ins w:id="446" w:author="CMCC-Luyang Zhao" w:date="2025-05-07T15:31:23Z">
              <w:r>
                <w:rPr>
                  <w:rFonts w:eastAsia="MS Mincho"/>
                </w:rPr>
                <w:t>HD-FDD</w:t>
              </w:r>
            </w:ins>
          </w:p>
        </w:tc>
      </w:tr>
      <w:tr w14:paraId="240D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447" w:author="CMCC-Luyang Zhao" w:date="2025-05-07T15:31:03Z"/>
        </w:trPr>
        <w:tc>
          <w:tcPr>
            <w:tcW w:w="1701" w:type="dxa"/>
            <w:shd w:val="clear" w:color="auto" w:fill="auto"/>
            <w:vAlign w:val="center"/>
          </w:tcPr>
          <w:p w14:paraId="5282EFC3">
            <w:pPr>
              <w:pStyle w:val="54"/>
              <w:rPr>
                <w:ins w:id="448" w:author="CMCC-Luyang Zhao" w:date="2025-05-07T15:31:03Z"/>
                <w:rFonts w:eastAsia="MS Mincho"/>
              </w:rPr>
            </w:pPr>
            <w:ins w:id="449" w:author="CMCC-Luyang Zhao" w:date="2025-05-07T15:31:38Z">
              <w:r>
                <w:rPr>
                  <w:rFonts w:hint="eastAsia" w:eastAsia="PMingLiU"/>
                  <w:lang w:eastAsia="zh-TW"/>
                </w:rPr>
                <w:t>2</w:t>
              </w:r>
            </w:ins>
            <w:ins w:id="450" w:author="CMCC-Luyang Zhao" w:date="2025-05-07T15:31:38Z">
              <w:r>
                <w:rPr>
                  <w:rFonts w:eastAsia="PMingLiU"/>
                  <w:lang w:eastAsia="zh-TW"/>
                </w:rPr>
                <w:t>5</w:t>
              </w:r>
            </w:ins>
            <w:ins w:id="451" w:author="CMCC-Luyang Zhao" w:date="2025-05-07T15:31:39Z">
              <w:r>
                <w:rPr>
                  <w:rFonts w:hint="default" w:eastAsia="PMingLiU"/>
                  <w:lang w:val="en-US" w:eastAsia="zh-TW"/>
                </w:rPr>
                <w:t>3</w:t>
              </w:r>
            </w:ins>
          </w:p>
        </w:tc>
        <w:tc>
          <w:tcPr>
            <w:tcW w:w="3827" w:type="dxa"/>
            <w:shd w:val="clear" w:color="auto" w:fill="auto"/>
            <w:vAlign w:val="center"/>
          </w:tcPr>
          <w:p w14:paraId="45FCBA49">
            <w:pPr>
              <w:pStyle w:val="54"/>
              <w:rPr>
                <w:ins w:id="452" w:author="CMCC-Luyang Zhao" w:date="2025-05-07T15:31:03Z"/>
                <w:rFonts w:eastAsia="MS Mincho"/>
              </w:rPr>
            </w:pPr>
            <w:ins w:id="453" w:author="CMCC-Luyang Zhao" w:date="2025-05-07T15:31:54Z">
              <w:r>
                <w:rPr>
                  <w:rFonts w:eastAsia="MS Mincho"/>
                </w:rPr>
                <w:t>-103.5</w:t>
              </w:r>
            </w:ins>
          </w:p>
        </w:tc>
        <w:tc>
          <w:tcPr>
            <w:tcW w:w="2835" w:type="dxa"/>
            <w:shd w:val="clear" w:color="auto" w:fill="auto"/>
            <w:vAlign w:val="center"/>
          </w:tcPr>
          <w:p w14:paraId="1534921D">
            <w:pPr>
              <w:pStyle w:val="54"/>
              <w:rPr>
                <w:ins w:id="454" w:author="CMCC-Luyang Zhao" w:date="2025-05-07T15:31:03Z"/>
                <w:rFonts w:eastAsia="MS Mincho"/>
              </w:rPr>
            </w:pPr>
            <w:ins w:id="455" w:author="CMCC-Luyang Zhao" w:date="2025-05-07T15:31:23Z">
              <w:r>
                <w:rPr>
                  <w:rFonts w:eastAsia="MS Mincho"/>
                </w:rPr>
                <w:t>HD-FDD</w:t>
              </w:r>
            </w:ins>
          </w:p>
        </w:tc>
      </w:tr>
      <w:tr w14:paraId="1057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8363" w:type="dxa"/>
            <w:gridSpan w:val="3"/>
            <w:shd w:val="clear" w:color="auto" w:fill="auto"/>
            <w:vAlign w:val="center"/>
          </w:tcPr>
          <w:p w14:paraId="13B13552">
            <w:pPr>
              <w:pStyle w:val="68"/>
              <w:rPr>
                <w:rFonts w:eastAsia="MS Mincho"/>
              </w:rPr>
            </w:pPr>
            <w:r>
              <w:t>NOTE 1:</w:t>
            </w:r>
            <w:r>
              <w:tab/>
            </w:r>
            <w:r>
              <w:t>The transmitter shall be set to P</w:t>
            </w:r>
            <w:r>
              <w:rPr>
                <w:vertAlign w:val="subscript"/>
              </w:rPr>
              <w:t>UMAX</w:t>
            </w:r>
            <w:r>
              <w:t xml:space="preserve"> as defined in subclause 6.2.5 in TS 36.101 [7].</w:t>
            </w:r>
          </w:p>
        </w:tc>
      </w:tr>
    </w:tbl>
    <w:p w14:paraId="744CDB9A"/>
    <w:p w14:paraId="439187E0">
      <w:r>
        <w:t>The reference receive sensitivity (REFSENS) requirement specified in Table 7.3A.3-1/Table 7.3A.3-2 shall be met for an uplink transmission bandwidth less than or equal to that specified in Table 7.3A.3-3</w:t>
      </w:r>
      <w:ins w:id="456" w:author="CMCC-Luyang Zhao" w:date="2025-05-07T15:29:24Z">
        <w:r>
          <w:rPr>
            <w:lang w:eastAsia="zh-CN"/>
          </w:rPr>
          <w:t xml:space="preserve"> and with default TX-RX carrier center frequency separation except for cases specified in Table 7.3A</w:t>
        </w:r>
      </w:ins>
      <w:ins w:id="457" w:author="CMCC-Luyang Zhao" w:date="2025-05-07T16:04:21Z">
        <w:r>
          <w:rPr>
            <w:rFonts w:hint="default"/>
            <w:lang w:val="en-US" w:eastAsia="zh-CN"/>
          </w:rPr>
          <w:t>.3</w:t>
        </w:r>
      </w:ins>
      <w:ins w:id="458" w:author="CMCC-Luyang Zhao" w:date="2025-05-07T15:29:24Z">
        <w:r>
          <w:rPr>
            <w:lang w:eastAsia="zh-CN"/>
          </w:rPr>
          <w:t>-4</w:t>
        </w:r>
      </w:ins>
      <w:r>
        <w:t>.</w:t>
      </w:r>
    </w:p>
    <w:p w14:paraId="411669A0">
      <w:pPr>
        <w:pStyle w:val="58"/>
      </w:pPr>
      <w:r>
        <w:t>NOTE:</w:t>
      </w:r>
      <w:r>
        <w:tab/>
      </w:r>
      <w:r>
        <w:t>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6376BF05">
      <w:pPr>
        <w:pStyle w:val="57"/>
      </w:pPr>
      <w:r>
        <w:t xml:space="preserve">Table 7.3A.3-3: FDD </w:t>
      </w:r>
      <w:r>
        <w:rPr>
          <w:snapToGrid w:val="0"/>
        </w:rPr>
        <w:t xml:space="preserve">UE category M1 </w:t>
      </w:r>
      <w:r>
        <w:t>Uplink configuration for reference sensitivity</w:t>
      </w:r>
    </w:p>
    <w:tbl>
      <w:tblPr>
        <w:tblStyle w:val="43"/>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14:paraId="3C991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14:paraId="5D8B0A71">
            <w:pPr>
              <w:pStyle w:val="53"/>
              <w:rPr>
                <w:rFonts w:eastAsia="MS Mincho"/>
                <w:lang w:eastAsia="ja-JP"/>
              </w:rPr>
            </w:pPr>
            <w:r>
              <w:rPr>
                <w:lang w:eastAsia="ja-JP"/>
              </w:rPr>
              <w:t>E-UTRA Band</w:t>
            </w:r>
          </w:p>
        </w:tc>
        <w:tc>
          <w:tcPr>
            <w:tcW w:w="1842" w:type="dxa"/>
            <w:shd w:val="clear" w:color="auto" w:fill="auto"/>
            <w:vAlign w:val="center"/>
          </w:tcPr>
          <w:p w14:paraId="3A1C72E8">
            <w:pPr>
              <w:pStyle w:val="53"/>
              <w:rPr>
                <w:rFonts w:eastAsia="MS Mincho"/>
              </w:rPr>
            </w:pPr>
            <w:r>
              <w:rPr>
                <w:lang w:eastAsia="ja-JP"/>
              </w:rPr>
              <w:t>N</w:t>
            </w:r>
            <w:r>
              <w:rPr>
                <w:vertAlign w:val="subscript"/>
                <w:lang w:eastAsia="ja-JP"/>
              </w:rPr>
              <w:t>RB</w:t>
            </w:r>
          </w:p>
        </w:tc>
        <w:tc>
          <w:tcPr>
            <w:tcW w:w="2268" w:type="dxa"/>
            <w:shd w:val="clear" w:color="auto" w:fill="auto"/>
            <w:vAlign w:val="center"/>
          </w:tcPr>
          <w:p w14:paraId="707110A9">
            <w:pPr>
              <w:pStyle w:val="53"/>
              <w:rPr>
                <w:rFonts w:eastAsia="MS Mincho"/>
                <w:lang w:eastAsia="ja-JP"/>
              </w:rPr>
            </w:pPr>
            <w:r>
              <w:rPr>
                <w:lang w:eastAsia="ja-JP"/>
              </w:rPr>
              <w:t>Duplex Mode</w:t>
            </w:r>
          </w:p>
        </w:tc>
      </w:tr>
      <w:tr w14:paraId="4A8FE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14:paraId="798B1505">
            <w:pPr>
              <w:pStyle w:val="54"/>
              <w:rPr>
                <w:lang w:eastAsia="ja-JP"/>
              </w:rPr>
            </w:pPr>
            <w:r>
              <w:rPr>
                <w:lang w:eastAsia="zh-CN"/>
              </w:rPr>
              <w:t>25</w:t>
            </w:r>
            <w:del w:id="459" w:author="CMCC-Luyang Zhao" w:date="2025-05-07T15:29:42Z">
              <w:r>
                <w:rPr>
                  <w:rFonts w:hint="default"/>
                  <w:lang w:val="en-US" w:eastAsia="zh-CN"/>
                </w:rPr>
                <w:delText>3</w:delText>
              </w:r>
            </w:del>
            <w:ins w:id="460" w:author="CMCC-Luyang Zhao" w:date="2025-05-07T15:29:42Z">
              <w:r>
                <w:rPr>
                  <w:rFonts w:hint="default"/>
                  <w:lang w:val="en-US" w:eastAsia="zh-CN"/>
                </w:rPr>
                <w:t>6</w:t>
              </w:r>
            </w:ins>
          </w:p>
        </w:tc>
        <w:tc>
          <w:tcPr>
            <w:tcW w:w="1842" w:type="dxa"/>
            <w:shd w:val="clear" w:color="auto" w:fill="auto"/>
            <w:vAlign w:val="center"/>
          </w:tcPr>
          <w:p w14:paraId="67B26AE8">
            <w:pPr>
              <w:pStyle w:val="54"/>
              <w:rPr>
                <w:lang w:eastAsia="ja-JP"/>
              </w:rPr>
            </w:pPr>
            <w:r>
              <w:rPr>
                <w:lang w:eastAsia="zh-CN"/>
              </w:rPr>
              <w:t>6</w:t>
            </w:r>
            <w:r>
              <w:rPr>
                <w:vertAlign w:val="superscript"/>
                <w:lang w:eastAsia="zh-CN"/>
              </w:rPr>
              <w:t>1</w:t>
            </w:r>
          </w:p>
        </w:tc>
        <w:tc>
          <w:tcPr>
            <w:tcW w:w="2268" w:type="dxa"/>
            <w:shd w:val="clear" w:color="auto" w:fill="auto"/>
            <w:vAlign w:val="center"/>
          </w:tcPr>
          <w:p w14:paraId="42BC3D7E">
            <w:pPr>
              <w:pStyle w:val="54"/>
              <w:rPr>
                <w:lang w:eastAsia="ja-JP"/>
              </w:rPr>
            </w:pPr>
            <w:r>
              <w:rPr>
                <w:lang w:eastAsia="zh-CN"/>
              </w:rPr>
              <w:t>FDD and HD-FDD</w:t>
            </w:r>
          </w:p>
        </w:tc>
      </w:tr>
      <w:tr w14:paraId="19930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14:paraId="570EF7C0">
            <w:pPr>
              <w:pStyle w:val="54"/>
              <w:rPr>
                <w:rFonts w:eastAsia="MS Mincho"/>
                <w:lang w:eastAsia="ja-JP"/>
              </w:rPr>
            </w:pPr>
            <w:r>
              <w:rPr>
                <w:lang w:eastAsia="zh-CN"/>
              </w:rPr>
              <w:t>25</w:t>
            </w:r>
            <w:del w:id="461" w:author="CMCC-Luyang Zhao" w:date="2025-05-07T15:29:44Z">
              <w:r>
                <w:rPr>
                  <w:rFonts w:hint="default"/>
                  <w:lang w:val="en-US" w:eastAsia="zh-CN"/>
                </w:rPr>
                <w:delText>4</w:delText>
              </w:r>
            </w:del>
            <w:ins w:id="462" w:author="CMCC-Luyang Zhao" w:date="2025-05-07T15:29:44Z">
              <w:r>
                <w:rPr>
                  <w:rFonts w:hint="default"/>
                  <w:lang w:val="en-US" w:eastAsia="zh-CN"/>
                </w:rPr>
                <w:t>5</w:t>
              </w:r>
            </w:ins>
          </w:p>
        </w:tc>
        <w:tc>
          <w:tcPr>
            <w:tcW w:w="1842" w:type="dxa"/>
            <w:shd w:val="clear" w:color="auto" w:fill="auto"/>
            <w:vAlign w:val="center"/>
          </w:tcPr>
          <w:p w14:paraId="74435351">
            <w:pPr>
              <w:pStyle w:val="54"/>
            </w:pPr>
            <w:r>
              <w:rPr>
                <w:lang w:eastAsia="zh-CN"/>
              </w:rPr>
              <w:t>6</w:t>
            </w:r>
            <w:r>
              <w:rPr>
                <w:vertAlign w:val="superscript"/>
                <w:lang w:eastAsia="zh-CN"/>
              </w:rPr>
              <w:t>1</w:t>
            </w:r>
          </w:p>
        </w:tc>
        <w:tc>
          <w:tcPr>
            <w:tcW w:w="2268" w:type="dxa"/>
            <w:shd w:val="clear" w:color="auto" w:fill="auto"/>
            <w:vAlign w:val="center"/>
          </w:tcPr>
          <w:p w14:paraId="55E05112">
            <w:pPr>
              <w:pStyle w:val="54"/>
              <w:rPr>
                <w:rFonts w:eastAsia="MS Mincho"/>
                <w:lang w:eastAsia="ja-JP"/>
              </w:rPr>
            </w:pPr>
            <w:r>
              <w:rPr>
                <w:lang w:eastAsia="zh-CN"/>
              </w:rPr>
              <w:t>FDD and HD-FDD</w:t>
            </w:r>
          </w:p>
        </w:tc>
      </w:tr>
      <w:tr w14:paraId="08389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14:paraId="38D174C1">
            <w:pPr>
              <w:pStyle w:val="54"/>
              <w:rPr>
                <w:rFonts w:hint="default" w:eastAsia="MS Mincho"/>
                <w:lang w:val="en-US" w:eastAsia="ja-JP"/>
              </w:rPr>
            </w:pPr>
            <w:r>
              <w:rPr>
                <w:rFonts w:eastAsia="MS Mincho"/>
                <w:lang w:eastAsia="ja-JP"/>
              </w:rPr>
              <w:t>25</w:t>
            </w:r>
            <w:del w:id="463" w:author="CMCC-Luyang Zhao" w:date="2025-05-07T15:29:45Z">
              <w:r>
                <w:rPr>
                  <w:rFonts w:hint="default" w:eastAsia="MS Mincho"/>
                  <w:lang w:val="en-US" w:eastAsia="ja-JP"/>
                </w:rPr>
                <w:delText>5</w:delText>
              </w:r>
            </w:del>
            <w:ins w:id="464" w:author="CMCC-Luyang Zhao" w:date="2025-05-07T15:29:47Z">
              <w:r>
                <w:rPr>
                  <w:rFonts w:hint="default" w:eastAsia="MS Mincho"/>
                  <w:lang w:val="en-US" w:eastAsia="ja-JP"/>
                </w:rPr>
                <w:t>4</w:t>
              </w:r>
            </w:ins>
          </w:p>
        </w:tc>
        <w:tc>
          <w:tcPr>
            <w:tcW w:w="1842" w:type="dxa"/>
            <w:shd w:val="clear" w:color="auto" w:fill="auto"/>
            <w:vAlign w:val="center"/>
          </w:tcPr>
          <w:p w14:paraId="5678D412">
            <w:pPr>
              <w:pStyle w:val="54"/>
            </w:pPr>
            <w:r>
              <w:t>6</w:t>
            </w:r>
            <w:r>
              <w:rPr>
                <w:vertAlign w:val="superscript"/>
              </w:rPr>
              <w:t>1</w:t>
            </w:r>
          </w:p>
        </w:tc>
        <w:tc>
          <w:tcPr>
            <w:tcW w:w="2268" w:type="dxa"/>
            <w:shd w:val="clear" w:color="auto" w:fill="auto"/>
            <w:vAlign w:val="center"/>
          </w:tcPr>
          <w:p w14:paraId="746CAD13">
            <w:pPr>
              <w:pStyle w:val="54"/>
              <w:rPr>
                <w:rFonts w:eastAsia="MS Mincho"/>
                <w:lang w:eastAsia="ja-JP"/>
              </w:rPr>
            </w:pPr>
            <w:r>
              <w:rPr>
                <w:rFonts w:eastAsia="MS Mincho"/>
                <w:lang w:eastAsia="ja-JP"/>
              </w:rPr>
              <w:t>FDD</w:t>
            </w:r>
            <w:r>
              <w:rPr>
                <w:lang w:eastAsia="ja-JP"/>
              </w:rPr>
              <w:t xml:space="preserve"> and HD-FDD</w:t>
            </w:r>
          </w:p>
        </w:tc>
      </w:tr>
      <w:tr w14:paraId="771D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14:paraId="7E60F23B">
            <w:pPr>
              <w:pStyle w:val="54"/>
              <w:rPr>
                <w:rFonts w:eastAsia="MS Mincho"/>
                <w:lang w:eastAsia="ja-JP"/>
              </w:rPr>
            </w:pPr>
            <w:r>
              <w:rPr>
                <w:rFonts w:eastAsia="MS Mincho"/>
                <w:lang w:eastAsia="ja-JP"/>
              </w:rPr>
              <w:t>25</w:t>
            </w:r>
            <w:del w:id="465" w:author="CMCC-Luyang Zhao" w:date="2025-05-07T15:29:50Z">
              <w:r>
                <w:rPr>
                  <w:rFonts w:hint="default" w:eastAsia="MS Mincho"/>
                  <w:lang w:val="en-US" w:eastAsia="ja-JP"/>
                </w:rPr>
                <w:delText>6</w:delText>
              </w:r>
            </w:del>
            <w:ins w:id="466" w:author="CMCC-Luyang Zhao" w:date="2025-05-07T15:29:50Z">
              <w:r>
                <w:rPr>
                  <w:rFonts w:hint="default" w:eastAsia="MS Mincho"/>
                  <w:lang w:val="en-US" w:eastAsia="ja-JP"/>
                </w:rPr>
                <w:t>3</w:t>
              </w:r>
            </w:ins>
          </w:p>
        </w:tc>
        <w:tc>
          <w:tcPr>
            <w:tcW w:w="1842" w:type="dxa"/>
            <w:shd w:val="clear" w:color="auto" w:fill="auto"/>
            <w:vAlign w:val="center"/>
          </w:tcPr>
          <w:p w14:paraId="6839B306">
            <w:pPr>
              <w:pStyle w:val="54"/>
            </w:pPr>
            <w:r>
              <w:t>6</w:t>
            </w:r>
            <w:r>
              <w:rPr>
                <w:vertAlign w:val="superscript"/>
              </w:rPr>
              <w:t>1</w:t>
            </w:r>
          </w:p>
        </w:tc>
        <w:tc>
          <w:tcPr>
            <w:tcW w:w="2268" w:type="dxa"/>
            <w:shd w:val="clear" w:color="auto" w:fill="auto"/>
            <w:vAlign w:val="center"/>
          </w:tcPr>
          <w:p w14:paraId="0895D51C">
            <w:pPr>
              <w:pStyle w:val="54"/>
              <w:rPr>
                <w:rFonts w:eastAsia="MS Mincho"/>
                <w:lang w:eastAsia="ja-JP"/>
              </w:rPr>
            </w:pPr>
            <w:r>
              <w:rPr>
                <w:rFonts w:eastAsia="MS Mincho"/>
                <w:lang w:eastAsia="ja-JP"/>
              </w:rPr>
              <w:t>FDD</w:t>
            </w:r>
            <w:r>
              <w:rPr>
                <w:lang w:eastAsia="ja-JP"/>
              </w:rPr>
              <w:t xml:space="preserve"> and HD-FDD</w:t>
            </w:r>
          </w:p>
        </w:tc>
      </w:tr>
      <w:tr w14:paraId="35BFE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14:paraId="38CD443F">
            <w:pPr>
              <w:pStyle w:val="68"/>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51C8DF3D">
      <w:pPr>
        <w:rPr>
          <w:rFonts w:eastAsiaTheme="minorEastAsia"/>
        </w:rPr>
      </w:pPr>
    </w:p>
    <w:p w14:paraId="64BDE590">
      <w:pPr>
        <w:pStyle w:val="57"/>
        <w:rPr>
          <w:ins w:id="467" w:author="CMCC-Luyang Zhao" w:date="2025-05-07T16:03:48Z"/>
          <w:lang w:val="fr-FR" w:eastAsia="zh-CN"/>
        </w:rPr>
      </w:pPr>
      <w:ins w:id="468" w:author="CMCC-Luyang Zhao" w:date="2025-05-07T16:03:48Z">
        <w:bookmarkStart w:id="173" w:name="OLE_LINK73"/>
        <w:r>
          <w:rPr>
            <w:lang w:val="fr-FR" w:eastAsia="zh-CN"/>
          </w:rPr>
          <w:t>Table 7.3A</w:t>
        </w:r>
      </w:ins>
      <w:ins w:id="469" w:author="CMCC-Luyang Zhao" w:date="2025-05-07T16:03:52Z">
        <w:r>
          <w:rPr>
            <w:rFonts w:hint="default"/>
            <w:lang w:val="en-US" w:eastAsia="zh-CN"/>
          </w:rPr>
          <w:t>.3</w:t>
        </w:r>
      </w:ins>
      <w:ins w:id="470" w:author="CMCC-Luyang Zhao" w:date="2025-05-07T16:03:48Z">
        <w:r>
          <w:rPr>
            <w:lang w:val="fr-FR" w:eastAsia="zh-CN"/>
          </w:rPr>
          <w:t>-4: TX – RX carrier centre frequency separation for REFSENS verification</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876"/>
        <w:gridCol w:w="6168"/>
      </w:tblGrid>
      <w:tr w14:paraId="595B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 w:author="CMCC-Luyang Zhao" w:date="2025-05-07T16:03:48Z"/>
        </w:trPr>
        <w:tc>
          <w:tcPr>
            <w:tcW w:w="0" w:type="auto"/>
            <w:tcBorders>
              <w:top w:val="single" w:color="auto" w:sz="4" w:space="0"/>
              <w:left w:val="single" w:color="auto" w:sz="4" w:space="0"/>
              <w:bottom w:val="single" w:color="auto" w:sz="4" w:space="0"/>
              <w:right w:val="single" w:color="auto" w:sz="4" w:space="0"/>
            </w:tcBorders>
          </w:tcPr>
          <w:p w14:paraId="641CBE8B">
            <w:pPr>
              <w:pStyle w:val="53"/>
              <w:rPr>
                <w:ins w:id="472" w:author="CMCC-Luyang Zhao" w:date="2025-05-07T16:03:48Z"/>
                <w:lang w:val="fr-FR"/>
              </w:rPr>
            </w:pPr>
            <w:ins w:id="473" w:author="CMCC-Luyang Zhao" w:date="2025-05-07T16:03:48Z">
              <w:r>
                <w:rPr>
                  <w:lang w:val="fr-FR"/>
                </w:rPr>
                <w:t xml:space="preserve">E-UTRA </w:t>
              </w:r>
            </w:ins>
          </w:p>
          <w:p w14:paraId="3DC6D6A7">
            <w:pPr>
              <w:pStyle w:val="53"/>
              <w:rPr>
                <w:ins w:id="474" w:author="CMCC-Luyang Zhao" w:date="2025-05-07T16:03:48Z"/>
                <w:lang w:val="fr-FR"/>
              </w:rPr>
            </w:pPr>
            <w:ins w:id="475" w:author="CMCC-Luyang Zhao" w:date="2025-05-07T16:03:48Z">
              <w:r>
                <w:rPr>
                  <w:lang w:val="fr-FR"/>
                </w:rPr>
                <w:t>Operating Band</w:t>
              </w:r>
            </w:ins>
          </w:p>
        </w:tc>
        <w:tc>
          <w:tcPr>
            <w:tcW w:w="0" w:type="auto"/>
            <w:tcBorders>
              <w:top w:val="single" w:color="auto" w:sz="4" w:space="0"/>
              <w:left w:val="single" w:color="auto" w:sz="4" w:space="0"/>
              <w:bottom w:val="single" w:color="auto" w:sz="4" w:space="0"/>
              <w:right w:val="single" w:color="auto" w:sz="4" w:space="0"/>
            </w:tcBorders>
          </w:tcPr>
          <w:p w14:paraId="10259DB0">
            <w:pPr>
              <w:pStyle w:val="53"/>
              <w:rPr>
                <w:ins w:id="476" w:author="CMCC-Luyang Zhao" w:date="2025-05-07T16:03:48Z"/>
                <w:lang w:val="fr-FR"/>
              </w:rPr>
            </w:pPr>
            <w:ins w:id="477" w:author="CMCC-Luyang Zhao" w:date="2025-05-07T16:03:48Z">
              <w:r>
                <w:rPr>
                  <w:lang w:val="fr-FR"/>
                </w:rPr>
                <w:t>Channel bandwidth</w:t>
              </w:r>
            </w:ins>
          </w:p>
        </w:tc>
        <w:tc>
          <w:tcPr>
            <w:tcW w:w="0" w:type="auto"/>
            <w:tcBorders>
              <w:top w:val="single" w:color="auto" w:sz="4" w:space="0"/>
              <w:left w:val="single" w:color="auto" w:sz="4" w:space="0"/>
              <w:bottom w:val="single" w:color="auto" w:sz="4" w:space="0"/>
              <w:right w:val="single" w:color="auto" w:sz="4" w:space="0"/>
            </w:tcBorders>
          </w:tcPr>
          <w:p w14:paraId="0E1F1453">
            <w:pPr>
              <w:pStyle w:val="53"/>
              <w:rPr>
                <w:ins w:id="478" w:author="CMCC-Luyang Zhao" w:date="2025-05-07T16:03:48Z"/>
                <w:lang w:val="fr-FR"/>
              </w:rPr>
            </w:pPr>
            <w:ins w:id="479" w:author="CMCC-Luyang Zhao" w:date="2025-05-07T16:03:48Z">
              <w:r>
                <w:rPr>
                  <w:lang w:val="fr-FR"/>
                </w:rPr>
                <w:t>TX – RX carrier centre frequency separation for REFSENS verification</w:t>
              </w:r>
            </w:ins>
          </w:p>
        </w:tc>
      </w:tr>
      <w:tr w14:paraId="77EEE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 w:author="CMCC-Luyang Zhao" w:date="2025-05-07T16:03:48Z"/>
        </w:trPr>
        <w:tc>
          <w:tcPr>
            <w:tcW w:w="0" w:type="auto"/>
            <w:tcBorders>
              <w:top w:val="single" w:color="auto" w:sz="4" w:space="0"/>
              <w:left w:val="single" w:color="auto" w:sz="4" w:space="0"/>
              <w:right w:val="single" w:color="auto" w:sz="4" w:space="0"/>
            </w:tcBorders>
          </w:tcPr>
          <w:p w14:paraId="239D71E9">
            <w:pPr>
              <w:pStyle w:val="54"/>
              <w:rPr>
                <w:ins w:id="481" w:author="CMCC-Luyang Zhao" w:date="2025-05-07T16:03:48Z"/>
                <w:lang w:val="fr-FR"/>
              </w:rPr>
            </w:pPr>
            <w:ins w:id="482" w:author="CMCC-Luyang Zhao" w:date="2025-05-07T16:03:48Z">
              <w:r>
                <w:rPr>
                  <w:lang w:val="fr-FR"/>
                </w:rPr>
                <w:t>256</w:t>
              </w:r>
            </w:ins>
          </w:p>
        </w:tc>
        <w:tc>
          <w:tcPr>
            <w:tcW w:w="0" w:type="auto"/>
            <w:tcBorders>
              <w:top w:val="single" w:color="auto" w:sz="4" w:space="0"/>
              <w:left w:val="single" w:color="auto" w:sz="4" w:space="0"/>
              <w:bottom w:val="single" w:color="auto" w:sz="4" w:space="0"/>
              <w:right w:val="single" w:color="auto" w:sz="4" w:space="0"/>
            </w:tcBorders>
          </w:tcPr>
          <w:p w14:paraId="6A27C3C5">
            <w:pPr>
              <w:pStyle w:val="54"/>
              <w:rPr>
                <w:ins w:id="483" w:author="CMCC-Luyang Zhao" w:date="2025-05-07T16:03:48Z"/>
                <w:lang w:val="fr-FR"/>
              </w:rPr>
            </w:pPr>
            <w:ins w:id="484" w:author="CMCC-Luyang Zhao" w:date="2025-05-07T16:03:48Z">
              <w:r>
                <w:rPr>
                  <w:lang w:val="fr-FR"/>
                </w:rPr>
                <w:t>1.4 MHz</w:t>
              </w:r>
            </w:ins>
          </w:p>
        </w:tc>
        <w:tc>
          <w:tcPr>
            <w:tcW w:w="0" w:type="auto"/>
            <w:tcBorders>
              <w:top w:val="single" w:color="auto" w:sz="4" w:space="0"/>
              <w:left w:val="single" w:color="auto" w:sz="4" w:space="0"/>
              <w:bottom w:val="single" w:color="auto" w:sz="4" w:space="0"/>
              <w:right w:val="single" w:color="auto" w:sz="4" w:space="0"/>
            </w:tcBorders>
          </w:tcPr>
          <w:p w14:paraId="128E4B63">
            <w:pPr>
              <w:pStyle w:val="54"/>
              <w:rPr>
                <w:ins w:id="485" w:author="CMCC-Luyang Zhao" w:date="2025-05-07T16:03:48Z"/>
                <w:lang w:val="fr-FR"/>
              </w:rPr>
            </w:pPr>
            <w:ins w:id="486" w:author="CMCC-Luyang Zhao" w:date="2025-05-07T16:03:48Z">
              <w:r>
                <w:rPr>
                  <w:lang w:val="fr-FR"/>
                </w:rPr>
                <w:t>161.4 MHz, 218.6 MHz</w:t>
              </w:r>
            </w:ins>
          </w:p>
        </w:tc>
      </w:tr>
      <w:tr w14:paraId="7BC8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 w:author="CMCC-Luyang Zhao" w:date="2025-05-07T16:03:48Z"/>
        </w:trPr>
        <w:tc>
          <w:tcPr>
            <w:tcW w:w="0" w:type="auto"/>
            <w:tcBorders>
              <w:top w:val="single" w:color="auto" w:sz="4" w:space="0"/>
              <w:left w:val="single" w:color="auto" w:sz="4" w:space="0"/>
              <w:bottom w:val="single" w:color="auto" w:sz="4" w:space="0"/>
              <w:right w:val="single" w:color="auto" w:sz="4" w:space="0"/>
            </w:tcBorders>
          </w:tcPr>
          <w:p w14:paraId="2243DDEB">
            <w:pPr>
              <w:pStyle w:val="54"/>
              <w:rPr>
                <w:ins w:id="488" w:author="CMCC-Luyang Zhao" w:date="2025-05-07T16:03:48Z"/>
                <w:lang w:val="fr-FR"/>
              </w:rPr>
            </w:pPr>
            <w:ins w:id="489" w:author="CMCC-Luyang Zhao" w:date="2025-05-07T16:03:48Z">
              <w:r>
                <w:rPr>
                  <w:lang w:val="fr-FR"/>
                </w:rPr>
                <w:t>255</w:t>
              </w:r>
            </w:ins>
          </w:p>
        </w:tc>
        <w:tc>
          <w:tcPr>
            <w:tcW w:w="0" w:type="auto"/>
            <w:tcBorders>
              <w:top w:val="single" w:color="auto" w:sz="4" w:space="0"/>
              <w:left w:val="single" w:color="auto" w:sz="4" w:space="0"/>
              <w:bottom w:val="single" w:color="auto" w:sz="4" w:space="0"/>
              <w:right w:val="single" w:color="auto" w:sz="4" w:space="0"/>
            </w:tcBorders>
          </w:tcPr>
          <w:p w14:paraId="20A5447C">
            <w:pPr>
              <w:pStyle w:val="54"/>
              <w:rPr>
                <w:ins w:id="490" w:author="CMCC-Luyang Zhao" w:date="2025-05-07T16:03:48Z"/>
                <w:lang w:val="fr-FR"/>
              </w:rPr>
            </w:pPr>
            <w:ins w:id="491" w:author="CMCC-Luyang Zhao" w:date="2025-05-07T16:03:48Z">
              <w:r>
                <w:rPr>
                  <w:lang w:val="fr-FR"/>
                </w:rPr>
                <w:t>1.4 MHz</w:t>
              </w:r>
            </w:ins>
          </w:p>
        </w:tc>
        <w:tc>
          <w:tcPr>
            <w:tcW w:w="0" w:type="auto"/>
            <w:tcBorders>
              <w:top w:val="single" w:color="auto" w:sz="4" w:space="0"/>
              <w:left w:val="single" w:color="auto" w:sz="4" w:space="0"/>
              <w:bottom w:val="single" w:color="auto" w:sz="4" w:space="0"/>
              <w:right w:val="single" w:color="auto" w:sz="4" w:space="0"/>
            </w:tcBorders>
          </w:tcPr>
          <w:p w14:paraId="7F4100CA">
            <w:pPr>
              <w:pStyle w:val="54"/>
              <w:rPr>
                <w:ins w:id="492" w:author="CMCC-Luyang Zhao" w:date="2025-05-07T16:03:48Z"/>
                <w:lang w:val="fr-FR"/>
              </w:rPr>
            </w:pPr>
            <w:ins w:id="493" w:author="CMCC-Luyang Zhao" w:date="2025-05-07T16:03:48Z">
              <w:r>
                <w:rPr>
                  <w:lang w:val="fr-FR"/>
                </w:rPr>
                <w:t>-68.9 MHz, -134.1 MHz</w:t>
              </w:r>
            </w:ins>
          </w:p>
        </w:tc>
      </w:tr>
      <w:tr w14:paraId="1F63C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 w:author="CMCC-Luyang Zhao" w:date="2025-05-07T16:03:48Z"/>
        </w:trPr>
        <w:tc>
          <w:tcPr>
            <w:tcW w:w="0" w:type="auto"/>
            <w:tcBorders>
              <w:top w:val="single" w:color="auto" w:sz="4" w:space="0"/>
              <w:left w:val="single" w:color="auto" w:sz="4" w:space="0"/>
              <w:bottom w:val="single" w:color="auto" w:sz="4" w:space="0"/>
              <w:right w:val="single" w:color="auto" w:sz="4" w:space="0"/>
            </w:tcBorders>
          </w:tcPr>
          <w:p w14:paraId="4DF153ED">
            <w:pPr>
              <w:pStyle w:val="54"/>
              <w:rPr>
                <w:ins w:id="495" w:author="CMCC-Luyang Zhao" w:date="2025-05-07T16:03:48Z"/>
                <w:lang w:val="fr-FR"/>
              </w:rPr>
            </w:pPr>
            <w:ins w:id="496" w:author="CMCC-Luyang Zhao" w:date="2025-05-07T16:03:48Z">
              <w:r>
                <w:rPr>
                  <w:lang w:val="fr-FR"/>
                </w:rPr>
                <w:t>254</w:t>
              </w:r>
            </w:ins>
          </w:p>
        </w:tc>
        <w:tc>
          <w:tcPr>
            <w:tcW w:w="0" w:type="auto"/>
            <w:tcBorders>
              <w:top w:val="single" w:color="auto" w:sz="4" w:space="0"/>
              <w:left w:val="single" w:color="auto" w:sz="4" w:space="0"/>
              <w:bottom w:val="single" w:color="auto" w:sz="4" w:space="0"/>
              <w:right w:val="single" w:color="auto" w:sz="4" w:space="0"/>
            </w:tcBorders>
          </w:tcPr>
          <w:p w14:paraId="3E2D95B9">
            <w:pPr>
              <w:pStyle w:val="54"/>
              <w:rPr>
                <w:ins w:id="497" w:author="CMCC-Luyang Zhao" w:date="2025-05-07T16:03:48Z"/>
                <w:lang w:val="fr-FR"/>
              </w:rPr>
            </w:pPr>
            <w:ins w:id="498" w:author="CMCC-Luyang Zhao" w:date="2025-05-07T16:03:48Z">
              <w:r>
                <w:rPr>
                  <w:lang w:val="fr-FR"/>
                </w:rPr>
                <w:t>1.4 MHz</w:t>
              </w:r>
            </w:ins>
          </w:p>
        </w:tc>
        <w:tc>
          <w:tcPr>
            <w:tcW w:w="0" w:type="auto"/>
            <w:tcBorders>
              <w:top w:val="single" w:color="auto" w:sz="4" w:space="0"/>
              <w:left w:val="single" w:color="auto" w:sz="4" w:space="0"/>
              <w:bottom w:val="single" w:color="auto" w:sz="4" w:space="0"/>
              <w:right w:val="single" w:color="auto" w:sz="4" w:space="0"/>
            </w:tcBorders>
          </w:tcPr>
          <w:p w14:paraId="75D59FE3">
            <w:pPr>
              <w:pStyle w:val="54"/>
              <w:rPr>
                <w:ins w:id="499" w:author="CMCC-Luyang Zhao" w:date="2025-05-07T16:03:48Z"/>
                <w:lang w:val="fr-FR"/>
              </w:rPr>
            </w:pPr>
            <w:ins w:id="500" w:author="CMCC-Luyang Zhao" w:date="2025-05-07T16:03:48Z">
              <w:r>
                <w:rPr>
                  <w:lang w:val="fr-FR"/>
                </w:rPr>
                <w:t>858.4 MHz, 888.6 MHz</w:t>
              </w:r>
            </w:ins>
          </w:p>
        </w:tc>
      </w:tr>
      <w:tr w14:paraId="406C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 w:author="CMCC-Luyang Zhao" w:date="2025-05-07T16:03:48Z"/>
        </w:trPr>
        <w:tc>
          <w:tcPr>
            <w:tcW w:w="0" w:type="auto"/>
            <w:tcBorders>
              <w:top w:val="single" w:color="auto" w:sz="4" w:space="0"/>
              <w:left w:val="single" w:color="auto" w:sz="4" w:space="0"/>
              <w:right w:val="single" w:color="auto" w:sz="4" w:space="0"/>
            </w:tcBorders>
          </w:tcPr>
          <w:p w14:paraId="518281C8">
            <w:pPr>
              <w:pStyle w:val="54"/>
              <w:rPr>
                <w:ins w:id="502" w:author="CMCC-Luyang Zhao" w:date="2025-05-07T16:03:48Z"/>
                <w:lang w:val="fr-FR"/>
              </w:rPr>
            </w:pPr>
            <w:ins w:id="503" w:author="CMCC-Luyang Zhao" w:date="2025-05-07T16:03:48Z">
              <w:r>
                <w:rPr>
                  <w:lang w:val="fr-FR"/>
                </w:rPr>
                <w:t>253</w:t>
              </w:r>
            </w:ins>
          </w:p>
        </w:tc>
        <w:tc>
          <w:tcPr>
            <w:tcW w:w="0" w:type="auto"/>
            <w:tcBorders>
              <w:top w:val="single" w:color="auto" w:sz="4" w:space="0"/>
              <w:left w:val="single" w:color="auto" w:sz="4" w:space="0"/>
              <w:bottom w:val="single" w:color="auto" w:sz="4" w:space="0"/>
              <w:right w:val="single" w:color="auto" w:sz="4" w:space="0"/>
            </w:tcBorders>
          </w:tcPr>
          <w:p w14:paraId="16B9B92A">
            <w:pPr>
              <w:pStyle w:val="54"/>
              <w:rPr>
                <w:ins w:id="504" w:author="CMCC-Luyang Zhao" w:date="2025-05-07T16:03:48Z"/>
                <w:lang w:val="fr-FR"/>
              </w:rPr>
            </w:pPr>
            <w:ins w:id="505" w:author="CMCC-Luyang Zhao" w:date="2025-05-07T16:03:48Z">
              <w:r>
                <w:rPr>
                  <w:lang w:val="fr-FR"/>
                </w:rPr>
                <w:t>1.4 MHz</w:t>
              </w:r>
            </w:ins>
          </w:p>
        </w:tc>
        <w:tc>
          <w:tcPr>
            <w:tcW w:w="0" w:type="auto"/>
            <w:tcBorders>
              <w:top w:val="single" w:color="auto" w:sz="4" w:space="0"/>
              <w:left w:val="single" w:color="auto" w:sz="4" w:space="0"/>
              <w:bottom w:val="single" w:color="auto" w:sz="4" w:space="0"/>
              <w:right w:val="single" w:color="auto" w:sz="4" w:space="0"/>
            </w:tcBorders>
          </w:tcPr>
          <w:p w14:paraId="6E013C1F">
            <w:pPr>
              <w:pStyle w:val="54"/>
              <w:rPr>
                <w:ins w:id="506" w:author="CMCC-Luyang Zhao" w:date="2025-05-07T16:03:48Z"/>
                <w:lang w:val="fr-FR"/>
              </w:rPr>
            </w:pPr>
            <w:ins w:id="507" w:author="CMCC-Luyang Zhao" w:date="2025-05-07T16:03:48Z">
              <w:r>
                <w:rPr>
                  <w:lang w:val="fr-FR"/>
                </w:rPr>
                <w:t>-144.4 MHz, -155.6 MHz</w:t>
              </w:r>
            </w:ins>
          </w:p>
        </w:tc>
      </w:tr>
    </w:tbl>
    <w:p w14:paraId="1C0A4B64">
      <w:pPr>
        <w:rPr>
          <w:ins w:id="508" w:author="CMCC-Luyang Zhao" w:date="2025-05-07T16:03:48Z"/>
          <w:snapToGrid w:val="0"/>
          <w:lang w:eastAsia="zh-CN"/>
        </w:rPr>
      </w:pPr>
    </w:p>
    <w:bookmarkEnd w:id="173"/>
    <w:p w14:paraId="2228F96F">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7.3A.1.</w:t>
      </w:r>
    </w:p>
    <w:p w14:paraId="746EE85D">
      <w:pPr>
        <w:pStyle w:val="85"/>
        <w:rPr>
          <w:rFonts w:eastAsia="??"/>
          <w:color w:val="FF0000"/>
          <w:sz w:val="32"/>
        </w:rPr>
      </w:pPr>
      <w:bookmarkStart w:id="174" w:name="_Toc121162885"/>
      <w:bookmarkStart w:id="175" w:name="_Toc23694"/>
      <w:bookmarkStart w:id="176" w:name="_Toc21047"/>
      <w:bookmarkStart w:id="177" w:name="_Toc23644"/>
      <w:bookmarkStart w:id="178" w:name="_Toc7376"/>
      <w:bookmarkStart w:id="179" w:name="_Toc2898"/>
      <w:bookmarkStart w:id="180" w:name="_Toc120570093"/>
      <w:bookmarkStart w:id="181" w:name="_Toc194571878"/>
      <w:bookmarkStart w:id="182" w:name="_Toc23852"/>
      <w:r>
        <w:rPr>
          <w:rFonts w:eastAsia="??"/>
          <w:color w:val="FF0000"/>
          <w:sz w:val="32"/>
        </w:rPr>
        <w:t xml:space="preserve">&lt;&lt;&lt; </w:t>
      </w:r>
      <w:r>
        <w:rPr>
          <w:rFonts w:hint="default" w:eastAsia="??"/>
          <w:color w:val="FF0000"/>
          <w:sz w:val="32"/>
          <w:lang w:val="en-US"/>
        </w:rPr>
        <w:t>Unchanged Parts Skipped</w:t>
      </w:r>
      <w:r>
        <w:rPr>
          <w:rFonts w:eastAsia="??"/>
          <w:color w:val="FF0000"/>
          <w:sz w:val="32"/>
        </w:rPr>
        <w:t xml:space="preserve"> &gt;&gt;&gt;</w:t>
      </w:r>
    </w:p>
    <w:p w14:paraId="4C4078EB">
      <w:pPr>
        <w:pStyle w:val="3"/>
      </w:pPr>
      <w:r>
        <w:t>7.3B</w:t>
      </w:r>
      <w:r>
        <w:tab/>
      </w:r>
      <w:r>
        <w:t>Reference sensitivity power level for UE category NB1 and NB2</w:t>
      </w:r>
      <w:bookmarkEnd w:id="174"/>
      <w:bookmarkEnd w:id="175"/>
      <w:bookmarkEnd w:id="176"/>
      <w:bookmarkEnd w:id="177"/>
      <w:bookmarkEnd w:id="178"/>
      <w:bookmarkEnd w:id="179"/>
      <w:bookmarkEnd w:id="180"/>
      <w:bookmarkEnd w:id="181"/>
      <w:bookmarkEnd w:id="182"/>
    </w:p>
    <w:p w14:paraId="1DABE9C4">
      <w:pPr>
        <w:pStyle w:val="8"/>
      </w:pPr>
      <w:bookmarkStart w:id="183" w:name="MCCQCTEMPBM_00000308"/>
      <w:r>
        <w:t>7.3B.1</w:t>
      </w:r>
      <w:r>
        <w:tab/>
      </w:r>
      <w:r>
        <w:t>Test purpose</w:t>
      </w:r>
    </w:p>
    <w:bookmarkEnd w:id="183"/>
    <w:p w14:paraId="6733C072">
      <w:r>
        <w:t>To verify the UE's ability to receive data with a given average throughput for a specified reference measurement channel, under conditions of low signal level, ideal propagation and no added noise.</w:t>
      </w:r>
    </w:p>
    <w:p w14:paraId="476AB0C0">
      <w:r>
        <w:t>A UE unable to meet the throughput requirement under these conditions will decrease the effective coverage area.</w:t>
      </w:r>
    </w:p>
    <w:p w14:paraId="630B9FB2">
      <w:pPr>
        <w:pStyle w:val="8"/>
      </w:pPr>
      <w:bookmarkStart w:id="184" w:name="MCCQCTEMPBM_00000309"/>
      <w:r>
        <w:t>7.3B.2</w:t>
      </w:r>
      <w:r>
        <w:tab/>
      </w:r>
      <w:r>
        <w:t>Test applicability</w:t>
      </w:r>
    </w:p>
    <w:bookmarkEnd w:id="184"/>
    <w:p w14:paraId="4FFA69B9">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p>
    <w:p w14:paraId="54B6B3ED">
      <w:pPr>
        <w:pStyle w:val="8"/>
      </w:pPr>
      <w:bookmarkStart w:id="185" w:name="MCCQCTEMPBM_00000310"/>
      <w:r>
        <w:t>7.3B.3</w:t>
      </w:r>
      <w:r>
        <w:tab/>
      </w:r>
      <w:r>
        <w:t>Minimum conformance requirements</w:t>
      </w:r>
    </w:p>
    <w:bookmarkEnd w:id="185"/>
    <w:p w14:paraId="00215D26">
      <w:r>
        <w:t>The reference sensitivity power level REFSENS is the minimum mean power applied to the single antenna port for UE category NB1 and category NB2, at which the throughput shall meet or exceed the requirements for the specified reference measurement channel.</w:t>
      </w:r>
    </w:p>
    <w:p w14:paraId="1AFF2A50">
      <w:r>
        <w:t>The throughput for the REFSENS test is measured based on the Transmission Mode 1 unless specified otherwise.</w:t>
      </w:r>
    </w:p>
    <w:p w14:paraId="4A06F8AF">
      <w:pPr>
        <w:rPr>
          <w:sz w:val="18"/>
          <w:szCs w:val="18"/>
        </w:rPr>
      </w:pPr>
      <w:r>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ins w:id="509" w:author="CMCC-Luyang Zhao" w:date="2025-05-07T15:33:33Z">
        <w:r>
          <w:rPr>
            <w:color w:val="000000" w:themeColor="text1"/>
            <w14:textFill>
              <w14:solidFill>
                <w14:schemeClr w14:val="tx1"/>
              </w14:solidFill>
            </w14:textFill>
          </w:rPr>
          <w:t xml:space="preserve"> and with default TX-RX carrier center frequency separation except for cases specified in Table 7.3B</w:t>
        </w:r>
      </w:ins>
      <w:ins w:id="510" w:author="CMCC-Luyang Zhao" w:date="2025-05-07T15:34:06Z">
        <w:r>
          <w:rPr>
            <w:rFonts w:hint="default"/>
            <w:color w:val="000000" w:themeColor="text1"/>
            <w:lang w:val="en-US"/>
            <w14:textFill>
              <w14:solidFill>
                <w14:schemeClr w14:val="tx1"/>
              </w14:solidFill>
            </w14:textFill>
          </w:rPr>
          <w:t>.</w:t>
        </w:r>
      </w:ins>
      <w:ins w:id="511" w:author="CMCC-Luyang Zhao" w:date="2025-05-07T15:34:07Z">
        <w:r>
          <w:rPr>
            <w:rFonts w:hint="default"/>
            <w:color w:val="000000" w:themeColor="text1"/>
            <w:lang w:val="en-US"/>
            <w14:textFill>
              <w14:solidFill>
                <w14:schemeClr w14:val="tx1"/>
              </w14:solidFill>
            </w14:textFill>
          </w:rPr>
          <w:t>3</w:t>
        </w:r>
      </w:ins>
      <w:ins w:id="512" w:author="CMCC-Luyang Zhao" w:date="2025-05-07T15:33:33Z">
        <w:r>
          <w:rPr>
            <w:color w:val="000000" w:themeColor="text1"/>
            <w14:textFill>
              <w14:solidFill>
                <w14:schemeClr w14:val="tx1"/>
              </w14:solidFill>
            </w14:textFill>
          </w:rPr>
          <w:t>-2</w:t>
        </w:r>
      </w:ins>
      <w:r>
        <w:t>.</w:t>
      </w:r>
    </w:p>
    <w:p w14:paraId="087F2D97">
      <w:pPr>
        <w:pStyle w:val="57"/>
      </w:pPr>
      <w:r>
        <w:t>Table 7.3B.3-1: Reference sensitivity for category NB1 and NB2</w:t>
      </w:r>
    </w:p>
    <w:tbl>
      <w:tblPr>
        <w:tblStyle w:val="43"/>
        <w:tblW w:w="4100" w:type="dxa"/>
        <w:jc w:val="center"/>
        <w:tblLayout w:type="autofit"/>
        <w:tblCellMar>
          <w:top w:w="0" w:type="dxa"/>
          <w:left w:w="108" w:type="dxa"/>
          <w:bottom w:w="0" w:type="dxa"/>
          <w:right w:w="108" w:type="dxa"/>
        </w:tblCellMar>
      </w:tblPr>
      <w:tblGrid>
        <w:gridCol w:w="2520"/>
        <w:gridCol w:w="1580"/>
      </w:tblGrid>
      <w:tr w14:paraId="7A96FA8C">
        <w:tblPrEx>
          <w:tblCellMar>
            <w:top w:w="0" w:type="dxa"/>
            <w:left w:w="108" w:type="dxa"/>
            <w:bottom w:w="0" w:type="dxa"/>
            <w:right w:w="108" w:type="dxa"/>
          </w:tblCellMar>
        </w:tblPrEx>
        <w:trPr>
          <w:trHeight w:val="288" w:hRule="atLeast"/>
          <w:jc w:val="center"/>
        </w:trPr>
        <w:tc>
          <w:tcPr>
            <w:tcW w:w="25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04AF6F">
            <w:pPr>
              <w:pStyle w:val="53"/>
            </w:pPr>
            <w: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14:paraId="58CAE3EE">
            <w:pPr>
              <w:pStyle w:val="53"/>
            </w:pPr>
            <w:r>
              <w:t>REFSENS [dBm]</w:t>
            </w:r>
          </w:p>
        </w:tc>
      </w:tr>
      <w:tr w14:paraId="4AF02A13">
        <w:tblPrEx>
          <w:tblCellMar>
            <w:top w:w="0" w:type="dxa"/>
            <w:left w:w="108" w:type="dxa"/>
            <w:bottom w:w="0" w:type="dxa"/>
            <w:right w:w="108" w:type="dxa"/>
          </w:tblCellMar>
        </w:tblPrEx>
        <w:trPr>
          <w:trHeight w:val="600" w:hRule="atLeast"/>
          <w:jc w:val="center"/>
        </w:trPr>
        <w:tc>
          <w:tcPr>
            <w:tcW w:w="2520" w:type="dxa"/>
            <w:tcBorders>
              <w:top w:val="nil"/>
              <w:left w:val="single" w:color="auto" w:sz="4" w:space="0"/>
              <w:bottom w:val="single" w:color="auto" w:sz="4" w:space="0"/>
              <w:right w:val="single" w:color="auto" w:sz="4" w:space="0"/>
            </w:tcBorders>
            <w:shd w:val="clear" w:color="auto" w:fill="auto"/>
            <w:vAlign w:val="center"/>
          </w:tcPr>
          <w:p w14:paraId="0D16CBF1">
            <w:pPr>
              <w:pStyle w:val="54"/>
            </w:pPr>
            <w:r>
              <w:rPr>
                <w:rFonts w:eastAsia="Courier New"/>
              </w:rPr>
              <w:t>According to subclause 5.2B</w:t>
            </w:r>
          </w:p>
        </w:tc>
        <w:tc>
          <w:tcPr>
            <w:tcW w:w="1580" w:type="dxa"/>
            <w:tcBorders>
              <w:top w:val="nil"/>
              <w:left w:val="nil"/>
              <w:bottom w:val="single" w:color="auto" w:sz="4" w:space="0"/>
              <w:right w:val="single" w:color="auto" w:sz="4" w:space="0"/>
            </w:tcBorders>
            <w:shd w:val="clear" w:color="auto" w:fill="auto"/>
            <w:noWrap/>
            <w:vAlign w:val="center"/>
          </w:tcPr>
          <w:p w14:paraId="3E9A926D">
            <w:pPr>
              <w:pStyle w:val="54"/>
            </w:pPr>
            <w:r>
              <w:t xml:space="preserve">- 108.2 </w:t>
            </w:r>
          </w:p>
        </w:tc>
      </w:tr>
    </w:tbl>
    <w:p w14:paraId="7A8B09DE"/>
    <w:p w14:paraId="4E768DDF">
      <w:pPr>
        <w:pStyle w:val="57"/>
        <w:rPr>
          <w:ins w:id="513" w:author="CMCC-Luyang Zhao" w:date="2025-05-07T15:33:42Z"/>
          <w:lang w:val="fr-FR" w:eastAsia="zh-CN"/>
        </w:rPr>
      </w:pPr>
      <w:ins w:id="514" w:author="CMCC-Luyang Zhao" w:date="2025-05-07T15:33:42Z">
        <w:r>
          <w:rPr>
            <w:lang w:val="fr-FR" w:eastAsia="zh-CN"/>
          </w:rPr>
          <w:t>Table 7.3B</w:t>
        </w:r>
      </w:ins>
      <w:ins w:id="515" w:author="CMCC-Luyang Zhao" w:date="2025-05-07T15:33:54Z">
        <w:r>
          <w:rPr>
            <w:rFonts w:hint="default"/>
            <w:lang w:val="en-US" w:eastAsia="zh-CN"/>
          </w:rPr>
          <w:t>.3</w:t>
        </w:r>
      </w:ins>
      <w:ins w:id="516" w:author="CMCC-Luyang Zhao" w:date="2025-05-07T15:33:42Z">
        <w:r>
          <w:rPr>
            <w:lang w:val="fr-FR" w:eastAsia="zh-CN"/>
          </w:rPr>
          <w:t>-2: TX – RX carrier centre frequency separation for REFSENS verification</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876"/>
        <w:gridCol w:w="6168"/>
      </w:tblGrid>
      <w:tr w14:paraId="34B3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352D7D2D">
            <w:pPr>
              <w:pStyle w:val="53"/>
              <w:rPr>
                <w:ins w:id="518" w:author="CMCC-Luyang Zhao" w:date="2025-05-07T15:33:42Z"/>
                <w:lang w:val="fr-FR"/>
              </w:rPr>
            </w:pPr>
            <w:ins w:id="519" w:author="CMCC-Luyang Zhao" w:date="2025-05-07T15:33:42Z">
              <w:r>
                <w:rPr>
                  <w:lang w:val="fr-FR"/>
                </w:rPr>
                <w:t xml:space="preserve">E-UTRA </w:t>
              </w:r>
            </w:ins>
          </w:p>
          <w:p w14:paraId="2D280708">
            <w:pPr>
              <w:pStyle w:val="53"/>
              <w:rPr>
                <w:ins w:id="520" w:author="CMCC-Luyang Zhao" w:date="2025-05-07T15:33:42Z"/>
                <w:lang w:val="fr-FR"/>
              </w:rPr>
            </w:pPr>
            <w:ins w:id="521" w:author="CMCC-Luyang Zhao" w:date="2025-05-07T15:33:42Z">
              <w:r>
                <w:rPr>
                  <w:lang w:val="fr-FR"/>
                </w:rPr>
                <w:t>Operating Band</w:t>
              </w:r>
            </w:ins>
          </w:p>
        </w:tc>
        <w:tc>
          <w:tcPr>
            <w:tcW w:w="0" w:type="auto"/>
            <w:tcBorders>
              <w:top w:val="single" w:color="auto" w:sz="4" w:space="0"/>
              <w:left w:val="single" w:color="auto" w:sz="4" w:space="0"/>
              <w:bottom w:val="single" w:color="auto" w:sz="4" w:space="0"/>
              <w:right w:val="single" w:color="auto" w:sz="4" w:space="0"/>
            </w:tcBorders>
          </w:tcPr>
          <w:p w14:paraId="73A29605">
            <w:pPr>
              <w:pStyle w:val="53"/>
              <w:rPr>
                <w:ins w:id="522" w:author="CMCC-Luyang Zhao" w:date="2025-05-07T15:33:42Z"/>
                <w:lang w:val="fr-FR"/>
              </w:rPr>
            </w:pPr>
            <w:ins w:id="523" w:author="CMCC-Luyang Zhao" w:date="2025-05-07T15:33:42Z">
              <w:r>
                <w:rPr>
                  <w:lang w:val="fr-FR"/>
                </w:rPr>
                <w:t>Channel bandwidth</w:t>
              </w:r>
            </w:ins>
          </w:p>
        </w:tc>
        <w:tc>
          <w:tcPr>
            <w:tcW w:w="0" w:type="auto"/>
            <w:tcBorders>
              <w:top w:val="single" w:color="auto" w:sz="4" w:space="0"/>
              <w:left w:val="single" w:color="auto" w:sz="4" w:space="0"/>
              <w:bottom w:val="single" w:color="auto" w:sz="4" w:space="0"/>
              <w:right w:val="single" w:color="auto" w:sz="4" w:space="0"/>
            </w:tcBorders>
          </w:tcPr>
          <w:p w14:paraId="3F622F09">
            <w:pPr>
              <w:pStyle w:val="53"/>
              <w:rPr>
                <w:ins w:id="524" w:author="CMCC-Luyang Zhao" w:date="2025-05-07T15:33:42Z"/>
                <w:lang w:val="fr-FR"/>
              </w:rPr>
            </w:pPr>
            <w:ins w:id="525" w:author="CMCC-Luyang Zhao" w:date="2025-05-07T15:33:42Z">
              <w:r>
                <w:rPr>
                  <w:lang w:val="fr-FR"/>
                </w:rPr>
                <w:t>TX – RX carrier centre frequency separation for REFSENS verification</w:t>
              </w:r>
            </w:ins>
          </w:p>
        </w:tc>
      </w:tr>
      <w:tr w14:paraId="13FD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 w:author="CMCC-Luyang Zhao" w:date="2025-05-07T15:33:42Z"/>
        </w:trPr>
        <w:tc>
          <w:tcPr>
            <w:tcW w:w="0" w:type="auto"/>
            <w:tcBorders>
              <w:top w:val="single" w:color="auto" w:sz="4" w:space="0"/>
              <w:left w:val="single" w:color="auto" w:sz="4" w:space="0"/>
              <w:right w:val="single" w:color="auto" w:sz="4" w:space="0"/>
            </w:tcBorders>
          </w:tcPr>
          <w:p w14:paraId="597C1589">
            <w:pPr>
              <w:pStyle w:val="54"/>
              <w:rPr>
                <w:ins w:id="527" w:author="CMCC-Luyang Zhao" w:date="2025-05-07T15:33:42Z"/>
                <w:lang w:val="fr-FR"/>
              </w:rPr>
            </w:pPr>
            <w:ins w:id="528" w:author="CMCC-Luyang Zhao" w:date="2025-05-07T15:33:42Z">
              <w:r>
                <w:rPr>
                  <w:lang w:val="fr-FR"/>
                </w:rPr>
                <w:t>256</w:t>
              </w:r>
            </w:ins>
          </w:p>
        </w:tc>
        <w:tc>
          <w:tcPr>
            <w:tcW w:w="0" w:type="auto"/>
            <w:tcBorders>
              <w:top w:val="single" w:color="auto" w:sz="4" w:space="0"/>
              <w:left w:val="single" w:color="auto" w:sz="4" w:space="0"/>
              <w:bottom w:val="single" w:color="auto" w:sz="4" w:space="0"/>
              <w:right w:val="single" w:color="auto" w:sz="4" w:space="0"/>
            </w:tcBorders>
          </w:tcPr>
          <w:p w14:paraId="08531B0A">
            <w:pPr>
              <w:pStyle w:val="54"/>
              <w:rPr>
                <w:ins w:id="529" w:author="CMCC-Luyang Zhao" w:date="2025-05-07T15:33:42Z"/>
                <w:lang w:val="fr-FR"/>
              </w:rPr>
            </w:pPr>
            <w:ins w:id="530"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741022E">
            <w:pPr>
              <w:pStyle w:val="54"/>
              <w:rPr>
                <w:ins w:id="531" w:author="CMCC-Luyang Zhao" w:date="2025-05-07T15:33:42Z"/>
                <w:lang w:val="fr-FR"/>
              </w:rPr>
            </w:pPr>
            <w:ins w:id="532" w:author="CMCC-Luyang Zhao" w:date="2025-05-07T15:33:42Z">
              <w:r>
                <w:rPr>
                  <w:lang w:val="fr-FR"/>
                </w:rPr>
                <w:t>160.2 MHz, 219.8 MHz</w:t>
              </w:r>
            </w:ins>
          </w:p>
        </w:tc>
      </w:tr>
      <w:tr w14:paraId="58D2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03984AD4">
            <w:pPr>
              <w:pStyle w:val="54"/>
              <w:rPr>
                <w:ins w:id="534" w:author="CMCC-Luyang Zhao" w:date="2025-05-07T15:33:42Z"/>
                <w:lang w:val="fr-FR"/>
              </w:rPr>
            </w:pPr>
            <w:ins w:id="535" w:author="CMCC-Luyang Zhao" w:date="2025-05-07T15:33:42Z">
              <w:r>
                <w:rPr>
                  <w:lang w:val="fr-FR"/>
                </w:rPr>
                <w:t>255</w:t>
              </w:r>
            </w:ins>
          </w:p>
        </w:tc>
        <w:tc>
          <w:tcPr>
            <w:tcW w:w="0" w:type="auto"/>
            <w:tcBorders>
              <w:top w:val="single" w:color="auto" w:sz="4" w:space="0"/>
              <w:left w:val="single" w:color="auto" w:sz="4" w:space="0"/>
              <w:bottom w:val="single" w:color="auto" w:sz="4" w:space="0"/>
              <w:right w:val="single" w:color="auto" w:sz="4" w:space="0"/>
            </w:tcBorders>
          </w:tcPr>
          <w:p w14:paraId="047B5639">
            <w:pPr>
              <w:pStyle w:val="54"/>
              <w:rPr>
                <w:ins w:id="536" w:author="CMCC-Luyang Zhao" w:date="2025-05-07T15:33:42Z"/>
                <w:lang w:val="fr-FR"/>
              </w:rPr>
            </w:pPr>
            <w:ins w:id="537"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0AA78CD2">
            <w:pPr>
              <w:pStyle w:val="54"/>
              <w:rPr>
                <w:ins w:id="538" w:author="CMCC-Luyang Zhao" w:date="2025-05-07T15:33:42Z"/>
                <w:lang w:val="fr-FR"/>
              </w:rPr>
            </w:pPr>
            <w:ins w:id="539" w:author="CMCC-Luyang Zhao" w:date="2025-05-07T15:33:42Z">
              <w:r>
                <w:rPr>
                  <w:lang w:val="fr-FR"/>
                </w:rPr>
                <w:t>-67.7 MHz, -135.3 MHz</w:t>
              </w:r>
            </w:ins>
          </w:p>
        </w:tc>
      </w:tr>
      <w:tr w14:paraId="593C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 w:author="CMCC-Luyang Zhao" w:date="2025-05-07T15:33:42Z"/>
        </w:trPr>
        <w:tc>
          <w:tcPr>
            <w:tcW w:w="0" w:type="auto"/>
            <w:tcBorders>
              <w:top w:val="single" w:color="auto" w:sz="4" w:space="0"/>
              <w:left w:val="single" w:color="auto" w:sz="4" w:space="0"/>
              <w:bottom w:val="single" w:color="auto" w:sz="4" w:space="0"/>
              <w:right w:val="single" w:color="auto" w:sz="4" w:space="0"/>
            </w:tcBorders>
          </w:tcPr>
          <w:p w14:paraId="0D249482">
            <w:pPr>
              <w:pStyle w:val="54"/>
              <w:rPr>
                <w:ins w:id="541" w:author="CMCC-Luyang Zhao" w:date="2025-05-07T15:33:42Z"/>
                <w:lang w:val="fr-FR"/>
              </w:rPr>
            </w:pPr>
            <w:ins w:id="542" w:author="CMCC-Luyang Zhao" w:date="2025-05-07T15:33:42Z">
              <w:r>
                <w:rPr>
                  <w:lang w:val="fr-FR"/>
                </w:rPr>
                <w:t>254</w:t>
              </w:r>
            </w:ins>
          </w:p>
        </w:tc>
        <w:tc>
          <w:tcPr>
            <w:tcW w:w="0" w:type="auto"/>
            <w:tcBorders>
              <w:top w:val="single" w:color="auto" w:sz="4" w:space="0"/>
              <w:left w:val="single" w:color="auto" w:sz="4" w:space="0"/>
              <w:bottom w:val="single" w:color="auto" w:sz="4" w:space="0"/>
              <w:right w:val="single" w:color="auto" w:sz="4" w:space="0"/>
            </w:tcBorders>
          </w:tcPr>
          <w:p w14:paraId="4F61ED88">
            <w:pPr>
              <w:pStyle w:val="54"/>
              <w:rPr>
                <w:ins w:id="543" w:author="CMCC-Luyang Zhao" w:date="2025-05-07T15:33:42Z"/>
                <w:lang w:val="fr-FR"/>
              </w:rPr>
            </w:pPr>
            <w:ins w:id="544"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AE25DFC">
            <w:pPr>
              <w:pStyle w:val="54"/>
              <w:rPr>
                <w:ins w:id="545" w:author="CMCC-Luyang Zhao" w:date="2025-05-07T15:33:42Z"/>
                <w:lang w:val="fr-FR"/>
              </w:rPr>
            </w:pPr>
            <w:ins w:id="546" w:author="CMCC-Luyang Zhao" w:date="2025-05-07T15:33:42Z">
              <w:r>
                <w:rPr>
                  <w:lang w:val="fr-FR"/>
                </w:rPr>
                <w:t>857.2 MHz, 889.8 MHz</w:t>
              </w:r>
            </w:ins>
          </w:p>
        </w:tc>
      </w:tr>
      <w:tr w14:paraId="5C87F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 w:author="CMCC-Luyang Zhao" w:date="2025-05-07T15:33:42Z"/>
        </w:trPr>
        <w:tc>
          <w:tcPr>
            <w:tcW w:w="0" w:type="auto"/>
            <w:tcBorders>
              <w:top w:val="single" w:color="auto" w:sz="4" w:space="0"/>
              <w:left w:val="single" w:color="auto" w:sz="4" w:space="0"/>
              <w:right w:val="single" w:color="auto" w:sz="4" w:space="0"/>
            </w:tcBorders>
          </w:tcPr>
          <w:p w14:paraId="7F7DFB1F">
            <w:pPr>
              <w:pStyle w:val="54"/>
              <w:rPr>
                <w:ins w:id="548" w:author="CMCC-Luyang Zhao" w:date="2025-05-07T15:33:42Z"/>
                <w:lang w:val="fr-FR"/>
              </w:rPr>
            </w:pPr>
            <w:ins w:id="549" w:author="CMCC-Luyang Zhao" w:date="2025-05-07T15:33:42Z">
              <w:r>
                <w:rPr>
                  <w:lang w:val="fr-FR"/>
                </w:rPr>
                <w:t>253</w:t>
              </w:r>
            </w:ins>
          </w:p>
        </w:tc>
        <w:tc>
          <w:tcPr>
            <w:tcW w:w="0" w:type="auto"/>
            <w:tcBorders>
              <w:top w:val="single" w:color="auto" w:sz="4" w:space="0"/>
              <w:left w:val="single" w:color="auto" w:sz="4" w:space="0"/>
              <w:bottom w:val="single" w:color="auto" w:sz="4" w:space="0"/>
              <w:right w:val="single" w:color="auto" w:sz="4" w:space="0"/>
            </w:tcBorders>
          </w:tcPr>
          <w:p w14:paraId="1F17D331">
            <w:pPr>
              <w:pStyle w:val="54"/>
              <w:rPr>
                <w:ins w:id="550" w:author="CMCC-Luyang Zhao" w:date="2025-05-07T15:33:42Z"/>
                <w:lang w:val="fr-FR"/>
              </w:rPr>
            </w:pPr>
            <w:ins w:id="551" w:author="CMCC-Luyang Zhao" w:date="2025-05-07T15:33:42Z">
              <w:r>
                <w:rPr>
                  <w:lang w:val="fr-FR"/>
                </w:rPr>
                <w:t>0.2 MHz</w:t>
              </w:r>
            </w:ins>
          </w:p>
        </w:tc>
        <w:tc>
          <w:tcPr>
            <w:tcW w:w="0" w:type="auto"/>
            <w:tcBorders>
              <w:top w:val="single" w:color="auto" w:sz="4" w:space="0"/>
              <w:left w:val="single" w:color="auto" w:sz="4" w:space="0"/>
              <w:bottom w:val="single" w:color="auto" w:sz="4" w:space="0"/>
              <w:right w:val="single" w:color="auto" w:sz="4" w:space="0"/>
            </w:tcBorders>
          </w:tcPr>
          <w:p w14:paraId="700DCD40">
            <w:pPr>
              <w:pStyle w:val="54"/>
              <w:rPr>
                <w:ins w:id="552" w:author="CMCC-Luyang Zhao" w:date="2025-05-07T15:33:42Z"/>
                <w:lang w:val="fr-FR"/>
              </w:rPr>
            </w:pPr>
            <w:ins w:id="553" w:author="CMCC-Luyang Zhao" w:date="2025-05-07T15:33:42Z">
              <w:r>
                <w:rPr>
                  <w:lang w:val="fr-FR"/>
                </w:rPr>
                <w:t>-143.2 MHz, -156.8 MHz</w:t>
              </w:r>
            </w:ins>
          </w:p>
        </w:tc>
      </w:tr>
    </w:tbl>
    <w:p w14:paraId="6631DA68">
      <w:pPr>
        <w:rPr>
          <w:ins w:id="554" w:author="CMCC-Luyang Zhao" w:date="2025-05-07T15:33:42Z"/>
          <w:snapToGrid w:val="0"/>
          <w:lang w:eastAsia="zh-CN"/>
        </w:rPr>
      </w:pPr>
    </w:p>
    <w:p w14:paraId="43068A3A">
      <w:r>
        <w:t>The normative reference for this requirement is TS 36.102 [11] clause 7.3B.</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EFF618F">
      <w:pPr>
        <w:pStyle w:val="85"/>
      </w:pPr>
      <w:r>
        <w:rPr>
          <w:rFonts w:eastAsia="??"/>
          <w:color w:val="FF0000"/>
          <w:sz w:val="32"/>
        </w:rPr>
        <w:t>&lt;&lt;&lt; END OF CHANGES &gt;&gt;&gt;</w:t>
      </w:r>
    </w:p>
    <w:p w14:paraId="4EF87021"/>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DD2EE">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717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BB7A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0C60D">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3115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A7CCB"/>
    <w:multiLevelType w:val="singleLevel"/>
    <w:tmpl w:val="EFEA7CC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41D"/>
    <w:rsid w:val="00410371"/>
    <w:rsid w:val="004242F1"/>
    <w:rsid w:val="0049532E"/>
    <w:rsid w:val="004B75B7"/>
    <w:rsid w:val="004C1952"/>
    <w:rsid w:val="005141D9"/>
    <w:rsid w:val="0051580D"/>
    <w:rsid w:val="00541081"/>
    <w:rsid w:val="00541963"/>
    <w:rsid w:val="00547111"/>
    <w:rsid w:val="00592D74"/>
    <w:rsid w:val="005E2C44"/>
    <w:rsid w:val="00621188"/>
    <w:rsid w:val="006257ED"/>
    <w:rsid w:val="00653DE4"/>
    <w:rsid w:val="00665C47"/>
    <w:rsid w:val="00695808"/>
    <w:rsid w:val="006B46FB"/>
    <w:rsid w:val="006E21FB"/>
    <w:rsid w:val="00715F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6332C"/>
    <w:rsid w:val="00A725CF"/>
    <w:rsid w:val="00A7671C"/>
    <w:rsid w:val="00AA2CBC"/>
    <w:rsid w:val="00AC5820"/>
    <w:rsid w:val="00AD1CD8"/>
    <w:rsid w:val="00B258BB"/>
    <w:rsid w:val="00B67B97"/>
    <w:rsid w:val="00B968C8"/>
    <w:rsid w:val="00BA3EC5"/>
    <w:rsid w:val="00BA51D9"/>
    <w:rsid w:val="00BB5DFC"/>
    <w:rsid w:val="00BD279D"/>
    <w:rsid w:val="00BD6BB8"/>
    <w:rsid w:val="00BF1EB5"/>
    <w:rsid w:val="00BF47ED"/>
    <w:rsid w:val="00C66BA2"/>
    <w:rsid w:val="00C71042"/>
    <w:rsid w:val="00C870F6"/>
    <w:rsid w:val="00C95985"/>
    <w:rsid w:val="00CC280A"/>
    <w:rsid w:val="00CC5026"/>
    <w:rsid w:val="00CC68D0"/>
    <w:rsid w:val="00D03F9A"/>
    <w:rsid w:val="00D06D51"/>
    <w:rsid w:val="00D24991"/>
    <w:rsid w:val="00D50255"/>
    <w:rsid w:val="00D6652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1F35C1"/>
    <w:rsid w:val="059559ED"/>
    <w:rsid w:val="05B74771"/>
    <w:rsid w:val="05D252BA"/>
    <w:rsid w:val="05F136A3"/>
    <w:rsid w:val="05F43D64"/>
    <w:rsid w:val="06012535"/>
    <w:rsid w:val="060B105A"/>
    <w:rsid w:val="060C4B01"/>
    <w:rsid w:val="0620509A"/>
    <w:rsid w:val="062A342B"/>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931DEF"/>
    <w:rsid w:val="0CE515B5"/>
    <w:rsid w:val="0D5D5D3D"/>
    <w:rsid w:val="0D853B56"/>
    <w:rsid w:val="0DBD083D"/>
    <w:rsid w:val="0DDA40DB"/>
    <w:rsid w:val="0DEC44F8"/>
    <w:rsid w:val="0E0F33E0"/>
    <w:rsid w:val="0E2D4DCF"/>
    <w:rsid w:val="0E2E4B13"/>
    <w:rsid w:val="0E3B7968"/>
    <w:rsid w:val="0EFB4CBB"/>
    <w:rsid w:val="0F053294"/>
    <w:rsid w:val="0F2D2764"/>
    <w:rsid w:val="0F817226"/>
    <w:rsid w:val="1021097F"/>
    <w:rsid w:val="10540A9B"/>
    <w:rsid w:val="10B14390"/>
    <w:rsid w:val="110F261A"/>
    <w:rsid w:val="11266DEE"/>
    <w:rsid w:val="11435F18"/>
    <w:rsid w:val="11563DAC"/>
    <w:rsid w:val="118E0126"/>
    <w:rsid w:val="11B84905"/>
    <w:rsid w:val="11E8156C"/>
    <w:rsid w:val="12160F3D"/>
    <w:rsid w:val="121819F1"/>
    <w:rsid w:val="124C2E0F"/>
    <w:rsid w:val="12A715EE"/>
    <w:rsid w:val="12DE3BB7"/>
    <w:rsid w:val="12F172AE"/>
    <w:rsid w:val="13054E95"/>
    <w:rsid w:val="13072221"/>
    <w:rsid w:val="130E79B3"/>
    <w:rsid w:val="13141D5A"/>
    <w:rsid w:val="133661B2"/>
    <w:rsid w:val="13503C33"/>
    <w:rsid w:val="1354539E"/>
    <w:rsid w:val="13C058C2"/>
    <w:rsid w:val="14082D73"/>
    <w:rsid w:val="14A82170"/>
    <w:rsid w:val="14D13334"/>
    <w:rsid w:val="14E34900"/>
    <w:rsid w:val="14FF296A"/>
    <w:rsid w:val="15497BD4"/>
    <w:rsid w:val="156E0E85"/>
    <w:rsid w:val="15B465C5"/>
    <w:rsid w:val="16803014"/>
    <w:rsid w:val="16C10575"/>
    <w:rsid w:val="16E939A4"/>
    <w:rsid w:val="17084EFC"/>
    <w:rsid w:val="17301B9A"/>
    <w:rsid w:val="175E3B80"/>
    <w:rsid w:val="17DE4581"/>
    <w:rsid w:val="182C16F0"/>
    <w:rsid w:val="18416FA7"/>
    <w:rsid w:val="18CA7EE2"/>
    <w:rsid w:val="193846D1"/>
    <w:rsid w:val="19850F82"/>
    <w:rsid w:val="19B006AB"/>
    <w:rsid w:val="1A247BCC"/>
    <w:rsid w:val="1A273426"/>
    <w:rsid w:val="1A484E9B"/>
    <w:rsid w:val="1A7E262E"/>
    <w:rsid w:val="1AAD78F2"/>
    <w:rsid w:val="1ABF3AC4"/>
    <w:rsid w:val="1B8535BF"/>
    <w:rsid w:val="1B867E7B"/>
    <w:rsid w:val="1BA116A2"/>
    <w:rsid w:val="1C2B1F90"/>
    <w:rsid w:val="1C4C42D1"/>
    <w:rsid w:val="1D34061D"/>
    <w:rsid w:val="1D5D202D"/>
    <w:rsid w:val="1D7B15F9"/>
    <w:rsid w:val="1DB268C5"/>
    <w:rsid w:val="1DB93368"/>
    <w:rsid w:val="1DE51859"/>
    <w:rsid w:val="1E1455DD"/>
    <w:rsid w:val="1EB81B4E"/>
    <w:rsid w:val="1EDD3BEA"/>
    <w:rsid w:val="1EE13C7D"/>
    <w:rsid w:val="1F121F2F"/>
    <w:rsid w:val="1F2C2BE9"/>
    <w:rsid w:val="1F607885"/>
    <w:rsid w:val="1F9A5FD4"/>
    <w:rsid w:val="1FC66330"/>
    <w:rsid w:val="1FDA771F"/>
    <w:rsid w:val="206773A2"/>
    <w:rsid w:val="20892A42"/>
    <w:rsid w:val="20CF42F8"/>
    <w:rsid w:val="211E20E3"/>
    <w:rsid w:val="21530910"/>
    <w:rsid w:val="218960CA"/>
    <w:rsid w:val="21964D05"/>
    <w:rsid w:val="21A16777"/>
    <w:rsid w:val="21B64185"/>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0E677B"/>
    <w:rsid w:val="25121BFE"/>
    <w:rsid w:val="25833995"/>
    <w:rsid w:val="2598481D"/>
    <w:rsid w:val="25D4073D"/>
    <w:rsid w:val="25F23484"/>
    <w:rsid w:val="25F929B2"/>
    <w:rsid w:val="26165ECB"/>
    <w:rsid w:val="2629306A"/>
    <w:rsid w:val="26AB74FD"/>
    <w:rsid w:val="26E34816"/>
    <w:rsid w:val="26E3603A"/>
    <w:rsid w:val="26F642E4"/>
    <w:rsid w:val="277B03CB"/>
    <w:rsid w:val="277E6516"/>
    <w:rsid w:val="27852BE9"/>
    <w:rsid w:val="278B7B24"/>
    <w:rsid w:val="279B2689"/>
    <w:rsid w:val="279E5D29"/>
    <w:rsid w:val="27B53233"/>
    <w:rsid w:val="27DE7716"/>
    <w:rsid w:val="27E1537C"/>
    <w:rsid w:val="28035FB0"/>
    <w:rsid w:val="280B61C0"/>
    <w:rsid w:val="283B5326"/>
    <w:rsid w:val="283C2D58"/>
    <w:rsid w:val="285048C9"/>
    <w:rsid w:val="289742A6"/>
    <w:rsid w:val="289B47AA"/>
    <w:rsid w:val="295D22E9"/>
    <w:rsid w:val="29C67296"/>
    <w:rsid w:val="29E405F2"/>
    <w:rsid w:val="2A463335"/>
    <w:rsid w:val="2A652C58"/>
    <w:rsid w:val="2A776112"/>
    <w:rsid w:val="2AC04438"/>
    <w:rsid w:val="2AC669B3"/>
    <w:rsid w:val="2B3910E0"/>
    <w:rsid w:val="2B571F87"/>
    <w:rsid w:val="2B7D5E81"/>
    <w:rsid w:val="2BB32763"/>
    <w:rsid w:val="2BB42B30"/>
    <w:rsid w:val="2C1B6D30"/>
    <w:rsid w:val="2C3C5702"/>
    <w:rsid w:val="2C5D6C4C"/>
    <w:rsid w:val="2C7A63D0"/>
    <w:rsid w:val="2C867F06"/>
    <w:rsid w:val="2C8D5567"/>
    <w:rsid w:val="2CA24D2A"/>
    <w:rsid w:val="2CC03E7E"/>
    <w:rsid w:val="2CC63ED7"/>
    <w:rsid w:val="2D043F49"/>
    <w:rsid w:val="2D266A1B"/>
    <w:rsid w:val="2D3B5044"/>
    <w:rsid w:val="2DAF3E40"/>
    <w:rsid w:val="2E0F794F"/>
    <w:rsid w:val="2E66503A"/>
    <w:rsid w:val="2E816674"/>
    <w:rsid w:val="2E8512B2"/>
    <w:rsid w:val="2E8F3937"/>
    <w:rsid w:val="2EA11B8C"/>
    <w:rsid w:val="2ED30FC9"/>
    <w:rsid w:val="2F024915"/>
    <w:rsid w:val="2F333078"/>
    <w:rsid w:val="2F66082F"/>
    <w:rsid w:val="2F991A4B"/>
    <w:rsid w:val="2FA539B8"/>
    <w:rsid w:val="3017391D"/>
    <w:rsid w:val="30717C09"/>
    <w:rsid w:val="30903231"/>
    <w:rsid w:val="30A438DB"/>
    <w:rsid w:val="31271F3F"/>
    <w:rsid w:val="313724B1"/>
    <w:rsid w:val="31790817"/>
    <w:rsid w:val="31B07F1F"/>
    <w:rsid w:val="31D60650"/>
    <w:rsid w:val="320E766C"/>
    <w:rsid w:val="32527B41"/>
    <w:rsid w:val="325D6D02"/>
    <w:rsid w:val="32A2688B"/>
    <w:rsid w:val="32F437CA"/>
    <w:rsid w:val="32F9052C"/>
    <w:rsid w:val="33483CFA"/>
    <w:rsid w:val="341E5273"/>
    <w:rsid w:val="347277CF"/>
    <w:rsid w:val="34B8139C"/>
    <w:rsid w:val="352C57CC"/>
    <w:rsid w:val="35A61997"/>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2F7445"/>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7A0839"/>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A4734"/>
    <w:rsid w:val="498B3497"/>
    <w:rsid w:val="49934AE4"/>
    <w:rsid w:val="4A0F0210"/>
    <w:rsid w:val="4A5D4073"/>
    <w:rsid w:val="4A5F71FA"/>
    <w:rsid w:val="4A774264"/>
    <w:rsid w:val="4AD2498A"/>
    <w:rsid w:val="4AD310DC"/>
    <w:rsid w:val="4AD869E6"/>
    <w:rsid w:val="4AE85DA1"/>
    <w:rsid w:val="4B316836"/>
    <w:rsid w:val="4B77304C"/>
    <w:rsid w:val="4B9168E1"/>
    <w:rsid w:val="4BFB27A3"/>
    <w:rsid w:val="4C0F3425"/>
    <w:rsid w:val="4C881B9E"/>
    <w:rsid w:val="4C9D69A4"/>
    <w:rsid w:val="4CB4378A"/>
    <w:rsid w:val="4CC633C5"/>
    <w:rsid w:val="4D1F3CE7"/>
    <w:rsid w:val="4DDB1517"/>
    <w:rsid w:val="4E602BDC"/>
    <w:rsid w:val="4EA567DE"/>
    <w:rsid w:val="4EAA2B1D"/>
    <w:rsid w:val="4EC64FF7"/>
    <w:rsid w:val="4F816C7C"/>
    <w:rsid w:val="4F8910F1"/>
    <w:rsid w:val="4FC11192"/>
    <w:rsid w:val="4FED76D6"/>
    <w:rsid w:val="50246D5B"/>
    <w:rsid w:val="50372EF0"/>
    <w:rsid w:val="503E3CE8"/>
    <w:rsid w:val="507B0459"/>
    <w:rsid w:val="50A73129"/>
    <w:rsid w:val="51171CCD"/>
    <w:rsid w:val="513A037B"/>
    <w:rsid w:val="51473B18"/>
    <w:rsid w:val="514928A4"/>
    <w:rsid w:val="518A09D7"/>
    <w:rsid w:val="521715DD"/>
    <w:rsid w:val="52183E03"/>
    <w:rsid w:val="527551F9"/>
    <w:rsid w:val="53795B2E"/>
    <w:rsid w:val="539F06B6"/>
    <w:rsid w:val="53BE1958"/>
    <w:rsid w:val="53C8619E"/>
    <w:rsid w:val="5419546B"/>
    <w:rsid w:val="54817698"/>
    <w:rsid w:val="548D7B2B"/>
    <w:rsid w:val="552A254E"/>
    <w:rsid w:val="554F098F"/>
    <w:rsid w:val="55541D13"/>
    <w:rsid w:val="55833ADA"/>
    <w:rsid w:val="55B97D11"/>
    <w:rsid w:val="55BA3359"/>
    <w:rsid w:val="560E5920"/>
    <w:rsid w:val="56155E47"/>
    <w:rsid w:val="565C61CE"/>
    <w:rsid w:val="56B91481"/>
    <w:rsid w:val="56B9437B"/>
    <w:rsid w:val="56C149B2"/>
    <w:rsid w:val="56E67D90"/>
    <w:rsid w:val="5700729D"/>
    <w:rsid w:val="57042D94"/>
    <w:rsid w:val="570578F8"/>
    <w:rsid w:val="574F3B1A"/>
    <w:rsid w:val="575B3360"/>
    <w:rsid w:val="57615941"/>
    <w:rsid w:val="57890D6B"/>
    <w:rsid w:val="57956652"/>
    <w:rsid w:val="57D41E40"/>
    <w:rsid w:val="57F9583D"/>
    <w:rsid w:val="581224C8"/>
    <w:rsid w:val="58425BDC"/>
    <w:rsid w:val="58C15486"/>
    <w:rsid w:val="58E5590C"/>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7F486C"/>
    <w:rsid w:val="5D856C0D"/>
    <w:rsid w:val="5DC83687"/>
    <w:rsid w:val="5DD8228D"/>
    <w:rsid w:val="5DF61400"/>
    <w:rsid w:val="5E284C88"/>
    <w:rsid w:val="5EB35134"/>
    <w:rsid w:val="5F0B57E4"/>
    <w:rsid w:val="5F507080"/>
    <w:rsid w:val="5F841C80"/>
    <w:rsid w:val="60B25106"/>
    <w:rsid w:val="619F580B"/>
    <w:rsid w:val="61AC0A1D"/>
    <w:rsid w:val="61D2000C"/>
    <w:rsid w:val="61E46F40"/>
    <w:rsid w:val="61F40586"/>
    <w:rsid w:val="61F8244A"/>
    <w:rsid w:val="62122FF4"/>
    <w:rsid w:val="622C3F7C"/>
    <w:rsid w:val="626335EE"/>
    <w:rsid w:val="62A63868"/>
    <w:rsid w:val="62E1105D"/>
    <w:rsid w:val="6307442A"/>
    <w:rsid w:val="632745D3"/>
    <w:rsid w:val="636F54AF"/>
    <w:rsid w:val="63841BD1"/>
    <w:rsid w:val="638A76A6"/>
    <w:rsid w:val="63A9778F"/>
    <w:rsid w:val="63CB200E"/>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6F22612"/>
    <w:rsid w:val="672F645A"/>
    <w:rsid w:val="673644E6"/>
    <w:rsid w:val="675F76E3"/>
    <w:rsid w:val="67C307AB"/>
    <w:rsid w:val="680C4312"/>
    <w:rsid w:val="684A6627"/>
    <w:rsid w:val="686333D1"/>
    <w:rsid w:val="68EF78AC"/>
    <w:rsid w:val="69092B11"/>
    <w:rsid w:val="69234E20"/>
    <w:rsid w:val="692D249D"/>
    <w:rsid w:val="693552F8"/>
    <w:rsid w:val="694F475D"/>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816B7C"/>
    <w:rsid w:val="6D984A10"/>
    <w:rsid w:val="6DE874DB"/>
    <w:rsid w:val="6DFB42FF"/>
    <w:rsid w:val="6E1B2162"/>
    <w:rsid w:val="6E5B2C4D"/>
    <w:rsid w:val="6E9A76E1"/>
    <w:rsid w:val="6ECF7B5A"/>
    <w:rsid w:val="6ED15B7A"/>
    <w:rsid w:val="6EF62701"/>
    <w:rsid w:val="6FC54822"/>
    <w:rsid w:val="6FC85EC7"/>
    <w:rsid w:val="6FD674FC"/>
    <w:rsid w:val="6FEE6F79"/>
    <w:rsid w:val="70CD5C54"/>
    <w:rsid w:val="716F2CD7"/>
    <w:rsid w:val="71C07B1C"/>
    <w:rsid w:val="71D7479F"/>
    <w:rsid w:val="71FB79C9"/>
    <w:rsid w:val="72173CAE"/>
    <w:rsid w:val="722349A1"/>
    <w:rsid w:val="726A287F"/>
    <w:rsid w:val="72CD4B67"/>
    <w:rsid w:val="730E41F1"/>
    <w:rsid w:val="732B434B"/>
    <w:rsid w:val="732D4A53"/>
    <w:rsid w:val="735E0AA5"/>
    <w:rsid w:val="738B7074"/>
    <w:rsid w:val="739C5B54"/>
    <w:rsid w:val="73D653A5"/>
    <w:rsid w:val="73E111A1"/>
    <w:rsid w:val="73F25CC6"/>
    <w:rsid w:val="74483837"/>
    <w:rsid w:val="748C2425"/>
    <w:rsid w:val="74E76CC4"/>
    <w:rsid w:val="752C594B"/>
    <w:rsid w:val="753B0290"/>
    <w:rsid w:val="75597550"/>
    <w:rsid w:val="75C760AF"/>
    <w:rsid w:val="75F75B56"/>
    <w:rsid w:val="76432494"/>
    <w:rsid w:val="76786FB7"/>
    <w:rsid w:val="76AF17E9"/>
    <w:rsid w:val="76B8409A"/>
    <w:rsid w:val="76C73531"/>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80087A"/>
    <w:rsid w:val="79D31349"/>
    <w:rsid w:val="79D37A34"/>
    <w:rsid w:val="79FE5149"/>
    <w:rsid w:val="7A1B6705"/>
    <w:rsid w:val="7A5565DC"/>
    <w:rsid w:val="7A7824F1"/>
    <w:rsid w:val="7AE14E72"/>
    <w:rsid w:val="7AF16597"/>
    <w:rsid w:val="7B23446B"/>
    <w:rsid w:val="7B5A5F40"/>
    <w:rsid w:val="7B855A02"/>
    <w:rsid w:val="7BB8142E"/>
    <w:rsid w:val="7BD14C58"/>
    <w:rsid w:val="7BDD5D9A"/>
    <w:rsid w:val="7BFF6EEF"/>
    <w:rsid w:val="7C1244CC"/>
    <w:rsid w:val="7C6F2D8C"/>
    <w:rsid w:val="7CF53D6C"/>
    <w:rsid w:val="7D400D02"/>
    <w:rsid w:val="7D811F5F"/>
    <w:rsid w:val="7D9571AB"/>
    <w:rsid w:val="7DBB2757"/>
    <w:rsid w:val="7DBF07E9"/>
    <w:rsid w:val="7E234329"/>
    <w:rsid w:val="7E3316A2"/>
    <w:rsid w:val="7EFFA8F1"/>
    <w:rsid w:val="7F2F6A35"/>
    <w:rsid w:val="7FA12BEA"/>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b/>
      <w:color w:val="0000FF"/>
    </w:rPr>
  </w:style>
  <w:style w:type="character" w:customStyle="1" w:styleId="86">
    <w:name w:val="TAL (文字)"/>
    <w:qFormat/>
    <w:uiPriority w:val="0"/>
    <w:rPr>
      <w:rFonts w:ascii="Arial" w:hAnsi="Arial" w:eastAsia="Times New Roman"/>
      <w:sz w:val="18"/>
      <w:lang w:val="en-GB"/>
    </w:rPr>
  </w:style>
  <w:style w:type="character" w:customStyle="1" w:styleId="87">
    <w:name w:val="font11"/>
    <w:basedOn w:val="45"/>
    <w:qFormat/>
    <w:uiPriority w:val="0"/>
    <w:rPr>
      <w:rFonts w:hint="default" w:ascii="Arial" w:hAnsi="Arial" w:cs="Arial"/>
      <w:color w:val="000000"/>
      <w:sz w:val="18"/>
      <w:szCs w:val="18"/>
      <w:u w:val="none"/>
      <w:vertAlign w:val="superscript"/>
    </w:rPr>
  </w:style>
  <w:style w:type="character" w:customStyle="1" w:styleId="88">
    <w:name w:val="font31"/>
    <w:basedOn w:val="45"/>
    <w:qFormat/>
    <w:uiPriority w:val="0"/>
    <w:rPr>
      <w:rFonts w:hint="default" w:ascii="Arial" w:hAnsi="Arial" w:cs="Arial"/>
      <w:color w:val="000000"/>
      <w:sz w:val="18"/>
      <w:szCs w:val="18"/>
      <w:u w:val="none"/>
    </w:rPr>
  </w:style>
  <w:style w:type="table" w:customStyle="1" w:styleId="89">
    <w:name w:val="Table Grid25"/>
    <w:basedOn w:val="43"/>
    <w:qFormat/>
    <w:uiPriority w:val="0"/>
    <w:pPr>
      <w:overflowPunct w:val="0"/>
      <w:autoSpaceDE w:val="0"/>
      <w:autoSpaceDN w:val="0"/>
      <w:adjustRightInd w:val="0"/>
      <w:spacing w:after="180"/>
      <w:textAlignment w:val="baseline"/>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9</Pages>
  <Words>1984</Words>
  <Characters>11314</Characters>
  <Lines>94</Lines>
  <Paragraphs>26</Paragraphs>
  <TotalTime>1</TotalTime>
  <ScaleCrop>false</ScaleCrop>
  <LinksUpToDate>false</LinksUpToDate>
  <CharactersWithSpaces>13272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2024-11-19T06:24:00Z</dcterms:created>
  <dc:creator>Michael Sanders, John M Meredith</dc:creator>
  <cp:lastModifiedBy>CMCC-Luyang Zhao</cp:lastModifiedBy>
  <cp:lastPrinted>2411-12-31T15:00:00Z</cp:lastPrinted>
  <dcterms:modified xsi:type="dcterms:W3CDTF">2025-05-16T03:03:41Z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E1FF0E2146434D6687B3B58A1A148565_13</vt:lpwstr>
  </property>
</Properties>
</file>